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FF7AB9" w:rsidRDefault="00952E5E">
      <w:pPr>
        <w:pStyle w:val="Ttulo"/>
        <w:jc w:val="center"/>
        <w:rPr>
          <w:rFonts w:ascii="Inter ExtraBold" w:eastAsia="Inter ExtraBold" w:hAnsi="Inter ExtraBold" w:cs="Inter ExtraBold"/>
          <w:color w:val="2A2A72"/>
          <w:sz w:val="40"/>
          <w:szCs w:val="40"/>
        </w:rPr>
      </w:pPr>
      <w:r>
        <w:rPr>
          <w:rFonts w:ascii="Inter ExtraBold" w:eastAsia="Inter ExtraBold" w:hAnsi="Inter ExtraBold" w:cs="Inter ExtraBold"/>
          <w:color w:val="2A2A72"/>
          <w:sz w:val="40"/>
          <w:szCs w:val="40"/>
        </w:rPr>
        <w:t xml:space="preserve">Grupo de Trabajo sobre la Ética de la Inteligencia Artificial en América Latina y el Caribe </w:t>
      </w:r>
    </w:p>
    <w:p w14:paraId="00000002" w14:textId="77777777" w:rsidR="00FF7AB9" w:rsidRDefault="00FF7AB9"/>
    <w:p w14:paraId="00000003" w14:textId="77777777" w:rsidR="00FF7AB9" w:rsidRDefault="00952E5E">
      <w:pPr>
        <w:pStyle w:val="Ttulo"/>
        <w:spacing w:after="0"/>
        <w:jc w:val="center"/>
        <w:rPr>
          <w:rFonts w:ascii="Inter ExtraBold" w:eastAsia="Inter ExtraBold" w:hAnsi="Inter ExtraBold" w:cs="Inter ExtraBold"/>
          <w:color w:val="2A2A72"/>
          <w:sz w:val="32"/>
          <w:szCs w:val="32"/>
        </w:rPr>
      </w:pPr>
      <w:r>
        <w:rPr>
          <w:rFonts w:ascii="Inter ExtraBold" w:eastAsia="Inter ExtraBold" w:hAnsi="Inter ExtraBold" w:cs="Inter ExtraBold"/>
          <w:color w:val="2A2A72"/>
          <w:sz w:val="32"/>
          <w:szCs w:val="32"/>
        </w:rPr>
        <w:t xml:space="preserve">Avances de los subgrupos temáticos </w:t>
      </w:r>
    </w:p>
    <w:p w14:paraId="00000004" w14:textId="77777777" w:rsidR="00FF7AB9" w:rsidRDefault="00FF7AB9">
      <w:pPr>
        <w:pStyle w:val="Ttulo"/>
        <w:jc w:val="center"/>
        <w:rPr>
          <w:rFonts w:ascii="Inter ExtraBold" w:eastAsia="Inter ExtraBold" w:hAnsi="Inter ExtraBold" w:cs="Inter ExtraBold"/>
          <w:color w:val="2A2A72"/>
          <w:sz w:val="12"/>
          <w:szCs w:val="12"/>
        </w:rPr>
      </w:pPr>
    </w:p>
    <w:p w14:paraId="00000005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center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</w:rPr>
        <w:t>Versión 2.0</w:t>
      </w:r>
    </w:p>
    <w:p w14:paraId="00000006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center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Fecha </w:t>
      </w:r>
      <w:r>
        <w:rPr>
          <w:rFonts w:ascii="Calibri" w:eastAsia="Calibri" w:hAnsi="Calibri" w:cs="Calibri"/>
        </w:rPr>
        <w:t>09/06/2025</w:t>
      </w:r>
    </w:p>
    <w:p w14:paraId="00000007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Antecedent</w:t>
      </w:r>
      <w:sdt>
        <w:sdtPr>
          <w:tag w:val="goog_rdk_0"/>
          <w:id w:val="333810987"/>
        </w:sdtPr>
        <w:sdtEndPr/>
        <w:sdtContent/>
      </w:sdt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es </w:t>
      </w:r>
    </w:p>
    <w:p w14:paraId="00000008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En la segunda Cumbre Ministerial y de Altas Autoridades sobre la Ética de la Inteligencia Artificial en América Latina y el Caribe realizada en el 2024, se reconoce la necesidad de establecer una </w:t>
      </w:r>
      <w:r>
        <w:rPr>
          <w:rFonts w:ascii="Calibri" w:eastAsia="Calibri" w:hAnsi="Calibri" w:cs="Calibri"/>
        </w:rPr>
        <w:t>H</w:t>
      </w:r>
      <w:r>
        <w:rPr>
          <w:rFonts w:ascii="Calibri" w:eastAsia="Calibri" w:hAnsi="Calibri" w:cs="Calibri"/>
          <w:color w:val="000000"/>
        </w:rPr>
        <w:t>oja de ruta que permita canalizar y priorizar esfuerzos.</w:t>
      </w:r>
    </w:p>
    <w:p w14:paraId="00000009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La hoja de ruta es un instrumento generado en el marco del Grupo de Trabajo para fortalecer los diálogos técnicos y políticos vinculados a la gobernanza y capacidades para el desarrollo, uso, adopción y aprovechamiento de la IA en ALC, así como orientar y priorizar el apoyo técnico y la contribución de la UNESCO y CAF, alineado con otros esfuerzos en nuestra región.</w:t>
      </w:r>
    </w:p>
    <w:p w14:paraId="0000000A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Las áreas y acciones priorizadas en la presente hoja de ruta se consideran clave para el desarrollo e implementación efectiva de políticas públicas alrededor de la IA, y buscan crear un entorno favorable para la innovación tecnológica ética, inclusiva, sustentable, y responsable en la región.</w:t>
      </w:r>
    </w:p>
    <w:p w14:paraId="0000000B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La Hoja de Ruta aprobado para el 2024 – 2025 integra las siguientes líneas de acción:</w:t>
      </w:r>
    </w:p>
    <w:p w14:paraId="0000000C" w14:textId="77777777" w:rsidR="00FF7AB9" w:rsidRDefault="00952E5E">
      <w:pPr>
        <w:numPr>
          <w:ilvl w:val="0"/>
          <w:numId w:val="13"/>
        </w:num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after="0"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Gobernanza y Regulación </w:t>
      </w:r>
    </w:p>
    <w:p w14:paraId="0000000D" w14:textId="77777777" w:rsidR="00FF7AB9" w:rsidRDefault="00952E5E">
      <w:pPr>
        <w:numPr>
          <w:ilvl w:val="0"/>
          <w:numId w:val="13"/>
        </w:num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after="0"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Talento y futuro del trabajo</w:t>
      </w:r>
    </w:p>
    <w:p w14:paraId="0000000E" w14:textId="77777777" w:rsidR="00FF7AB9" w:rsidRDefault="00952E5E">
      <w:pPr>
        <w:numPr>
          <w:ilvl w:val="0"/>
          <w:numId w:val="13"/>
        </w:num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after="0"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Protección de grupos en situación de vulnerabilidad</w:t>
      </w:r>
    </w:p>
    <w:p w14:paraId="0000000F" w14:textId="77777777" w:rsidR="00FF7AB9" w:rsidRDefault="00952E5E">
      <w:pPr>
        <w:numPr>
          <w:ilvl w:val="0"/>
          <w:numId w:val="13"/>
        </w:num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after="0"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Medio ambiente, sustentabilidad y cambio climático</w:t>
      </w:r>
    </w:p>
    <w:p w14:paraId="00000010" w14:textId="77777777" w:rsidR="00FF7AB9" w:rsidRDefault="00952E5E">
      <w:pPr>
        <w:numPr>
          <w:ilvl w:val="0"/>
          <w:numId w:val="13"/>
        </w:num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Infraestructura</w:t>
      </w:r>
    </w:p>
    <w:p w14:paraId="00000011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</w:p>
    <w:p w14:paraId="00000012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lastRenderedPageBreak/>
        <w:t>Subgrupos de trabajo</w:t>
      </w:r>
    </w:p>
    <w:p w14:paraId="00000013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Para cada línea de acción se estableció un subgrupo de trabajo para desarrollar y profundizar en cada uno de los productos definidos en la misma.</w:t>
      </w:r>
    </w:p>
    <w:p w14:paraId="00000014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Integración de los subgrupos</w:t>
      </w:r>
    </w:p>
    <w:p w14:paraId="00000015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Cada país miembro del Grupo de Trabajo seleccionó el o los subgrupos a integrar de acuerdo con sus intereses y necesidades. A su vez, cada país designó uno o más referentes para integrar los subgrupos. </w:t>
      </w:r>
    </w:p>
    <w:p w14:paraId="00000016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  <w:highlight w:val="yellow"/>
        </w:rPr>
      </w:pPr>
    </w:p>
    <w:tbl>
      <w:tblPr>
        <w:tblStyle w:val="a2"/>
        <w:tblW w:w="1021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7"/>
        <w:gridCol w:w="4453"/>
        <w:gridCol w:w="2325"/>
      </w:tblGrid>
      <w:tr w:rsidR="00FF7AB9" w14:paraId="05CBF439" w14:textId="77777777">
        <w:tc>
          <w:tcPr>
            <w:tcW w:w="3436" w:type="dxa"/>
            <w:shd w:val="clear" w:color="auto" w:fill="002060"/>
          </w:tcPr>
          <w:p w14:paraId="00000017" w14:textId="77777777" w:rsidR="00FF7AB9" w:rsidRDefault="00952E5E">
            <w:pPr>
              <w:spacing w:after="0"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 xml:space="preserve">Subgrupo temático </w:t>
            </w:r>
          </w:p>
          <w:p w14:paraId="00000018" w14:textId="77777777" w:rsidR="00FF7AB9" w:rsidRDefault="00952E5E">
            <w:pPr>
              <w:spacing w:after="0"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(Línea de acción)</w:t>
            </w:r>
          </w:p>
        </w:tc>
        <w:tc>
          <w:tcPr>
            <w:tcW w:w="4453" w:type="dxa"/>
            <w:shd w:val="clear" w:color="auto" w:fill="002060"/>
          </w:tcPr>
          <w:p w14:paraId="00000019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Países que la integran</w:t>
            </w:r>
          </w:p>
        </w:tc>
        <w:tc>
          <w:tcPr>
            <w:tcW w:w="2325" w:type="dxa"/>
            <w:shd w:val="clear" w:color="auto" w:fill="002060"/>
          </w:tcPr>
          <w:p w14:paraId="0000001A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Coordinación</w:t>
            </w:r>
          </w:p>
        </w:tc>
      </w:tr>
      <w:tr w:rsidR="00FF7AB9" w14:paraId="7C64E926" w14:textId="77777777">
        <w:tc>
          <w:tcPr>
            <w:tcW w:w="3436" w:type="dxa"/>
          </w:tcPr>
          <w:p w14:paraId="0000001B" w14:textId="77777777" w:rsidR="00FF7AB9" w:rsidRDefault="00952E5E">
            <w:pPr>
              <w:numPr>
                <w:ilvl w:val="0"/>
                <w:numId w:val="8"/>
              </w:num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Gobernanza y Regulación </w:t>
            </w:r>
          </w:p>
        </w:tc>
        <w:tc>
          <w:tcPr>
            <w:tcW w:w="4453" w:type="dxa"/>
          </w:tcPr>
          <w:p w14:paraId="0000001C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highlight w:val="yellow"/>
              </w:rPr>
            </w:pPr>
            <w:r>
              <w:rPr>
                <w:rFonts w:ascii="Calibri" w:eastAsia="Calibri" w:hAnsi="Calibri" w:cs="Calibri"/>
                <w:color w:val="000000"/>
              </w:rPr>
              <w:t>Bolivia, Brasil, Colombia, Curazao, El Salvador, Jamaica, México, Paraguay, Perú</w:t>
            </w:r>
          </w:p>
        </w:tc>
        <w:tc>
          <w:tcPr>
            <w:tcW w:w="2325" w:type="dxa"/>
          </w:tcPr>
          <w:p w14:paraId="0000001D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highlight w:val="yellow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Agesic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– Uruguay</w:t>
            </w:r>
          </w:p>
        </w:tc>
      </w:tr>
      <w:tr w:rsidR="00FF7AB9" w14:paraId="46514AB8" w14:textId="77777777">
        <w:tc>
          <w:tcPr>
            <w:tcW w:w="3436" w:type="dxa"/>
          </w:tcPr>
          <w:p w14:paraId="0000001E" w14:textId="77777777" w:rsidR="00FF7AB9" w:rsidRDefault="00952E5E">
            <w:pPr>
              <w:numPr>
                <w:ilvl w:val="0"/>
                <w:numId w:val="8"/>
              </w:num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Talento y futuro del trabajo</w:t>
            </w:r>
          </w:p>
        </w:tc>
        <w:tc>
          <w:tcPr>
            <w:tcW w:w="4453" w:type="dxa"/>
          </w:tcPr>
          <w:p w14:paraId="0000001F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highlight w:val="yellow"/>
              </w:rPr>
            </w:pPr>
            <w:r>
              <w:rPr>
                <w:rFonts w:ascii="Calibri" w:eastAsia="Calibri" w:hAnsi="Calibri" w:cs="Calibri"/>
                <w:color w:val="000000"/>
              </w:rPr>
              <w:t>Bolivia, Colombia, Curazao, Ecuador, México, Perú, República Dominicana</w:t>
            </w:r>
          </w:p>
        </w:tc>
        <w:tc>
          <w:tcPr>
            <w:tcW w:w="2325" w:type="dxa"/>
          </w:tcPr>
          <w:p w14:paraId="00000020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highlight w:val="yellow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Agesic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– Uruguay</w:t>
            </w:r>
          </w:p>
        </w:tc>
      </w:tr>
      <w:tr w:rsidR="00FF7AB9" w14:paraId="37AC4EAF" w14:textId="77777777">
        <w:tc>
          <w:tcPr>
            <w:tcW w:w="3436" w:type="dxa"/>
          </w:tcPr>
          <w:p w14:paraId="00000021" w14:textId="77777777" w:rsidR="00FF7AB9" w:rsidRDefault="00952E5E">
            <w:pPr>
              <w:numPr>
                <w:ilvl w:val="0"/>
                <w:numId w:val="8"/>
              </w:num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Protección de grupos en situación de vulnerabilidad</w:t>
            </w:r>
          </w:p>
        </w:tc>
        <w:tc>
          <w:tcPr>
            <w:tcW w:w="4453" w:type="dxa"/>
          </w:tcPr>
          <w:p w14:paraId="00000022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highlight w:val="yellow"/>
              </w:rPr>
            </w:pPr>
            <w:r>
              <w:rPr>
                <w:rFonts w:ascii="Calibri" w:eastAsia="Calibri" w:hAnsi="Calibri" w:cs="Calibri"/>
                <w:color w:val="000000"/>
              </w:rPr>
              <w:t>Bolivia, Brasil, Colombia, México, Paraguay</w:t>
            </w:r>
          </w:p>
        </w:tc>
        <w:tc>
          <w:tcPr>
            <w:tcW w:w="2325" w:type="dxa"/>
          </w:tcPr>
          <w:p w14:paraId="00000023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UNESCO</w:t>
            </w:r>
          </w:p>
        </w:tc>
      </w:tr>
      <w:tr w:rsidR="00FF7AB9" w14:paraId="6853613E" w14:textId="77777777">
        <w:tc>
          <w:tcPr>
            <w:tcW w:w="3436" w:type="dxa"/>
          </w:tcPr>
          <w:p w14:paraId="00000024" w14:textId="77777777" w:rsidR="00FF7AB9" w:rsidRDefault="00952E5E">
            <w:pPr>
              <w:numPr>
                <w:ilvl w:val="0"/>
                <w:numId w:val="8"/>
              </w:num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Medio ambiente, sustentabilidad y cambio climático</w:t>
            </w:r>
          </w:p>
        </w:tc>
        <w:tc>
          <w:tcPr>
            <w:tcW w:w="4453" w:type="dxa"/>
          </w:tcPr>
          <w:p w14:paraId="00000025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highlight w:val="yellow"/>
              </w:rPr>
            </w:pPr>
            <w:r>
              <w:rPr>
                <w:rFonts w:ascii="Calibri" w:eastAsia="Calibri" w:hAnsi="Calibri" w:cs="Calibri"/>
                <w:color w:val="000000"/>
              </w:rPr>
              <w:t>Bolivia, Brasil, Colombia, Panamá</w:t>
            </w:r>
          </w:p>
        </w:tc>
        <w:tc>
          <w:tcPr>
            <w:tcW w:w="2325" w:type="dxa"/>
          </w:tcPr>
          <w:p w14:paraId="00000026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UNESCO</w:t>
            </w:r>
          </w:p>
        </w:tc>
      </w:tr>
      <w:tr w:rsidR="00FF7AB9" w14:paraId="61C68746" w14:textId="77777777">
        <w:tc>
          <w:tcPr>
            <w:tcW w:w="3436" w:type="dxa"/>
          </w:tcPr>
          <w:p w14:paraId="00000027" w14:textId="77777777" w:rsidR="00FF7AB9" w:rsidRDefault="00952E5E">
            <w:pPr>
              <w:numPr>
                <w:ilvl w:val="0"/>
                <w:numId w:val="8"/>
              </w:num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Infraestructura</w:t>
            </w:r>
          </w:p>
        </w:tc>
        <w:tc>
          <w:tcPr>
            <w:tcW w:w="4453" w:type="dxa"/>
          </w:tcPr>
          <w:p w14:paraId="00000028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highlight w:val="yellow"/>
              </w:rPr>
            </w:pPr>
            <w:r>
              <w:rPr>
                <w:rFonts w:ascii="Calibri" w:eastAsia="Calibri" w:hAnsi="Calibri" w:cs="Calibri"/>
                <w:color w:val="000000"/>
              </w:rPr>
              <w:t>Brasil, Chile, Colombia, México, Panamá, Paraguay, Perú, República Dominicana</w:t>
            </w:r>
          </w:p>
        </w:tc>
        <w:tc>
          <w:tcPr>
            <w:tcW w:w="2325" w:type="dxa"/>
          </w:tcPr>
          <w:p w14:paraId="00000029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000000"/>
                <w:highlight w:val="yellow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Agesic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– Uruguay</w:t>
            </w:r>
          </w:p>
        </w:tc>
      </w:tr>
    </w:tbl>
    <w:p w14:paraId="0000002A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  <w:highlight w:val="yellow"/>
        </w:rPr>
      </w:pPr>
    </w:p>
    <w:p w14:paraId="0000002B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</w:p>
    <w:p w14:paraId="0000002C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lastRenderedPageBreak/>
        <w:t>Funcionamiento</w:t>
      </w:r>
    </w:p>
    <w:p w14:paraId="0000002D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Los subgrupos estarán integrados por representantes de cada país, quienes seleccionarán de manera voluntaria, de acuerdo con sus intereses el o los subgrupos a participar. Si bien cada país podrá seleccionar el o los subgrupos temáticos a integrar, el Grupo de Trabajo deberá velar por el equilibrio en representación de los países, con el fin de promover el diálogo regional y los resultados para una efectiva implementación de la Hoja de Ruta.</w:t>
      </w:r>
    </w:p>
    <w:p w14:paraId="0000002E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La coordinación administrativa, logística y de apoyo de cada subgrupo estará a cargo de un representante y su alterno, de la Organización de las Naciones Unidas para la Educación, la Ciencia y la Cultura - UNESCO y/o del país que ejerce la Presidencia. </w:t>
      </w:r>
    </w:p>
    <w:p w14:paraId="0000002F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CAF -banco de desarrollo de América Latina y el Caribe- será responsable de la asistencia técnica de los distintos subgrupos.</w:t>
      </w:r>
    </w:p>
    <w:p w14:paraId="00000030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</w:rPr>
        <w:t xml:space="preserve">Los subgrupos desarrollarán reuniones mensuales de índole técnica de acuerdo con la metodología y calendario </w:t>
      </w:r>
      <w:r>
        <w:rPr>
          <w:rFonts w:ascii="Calibri" w:eastAsia="Calibri" w:hAnsi="Calibri" w:cs="Calibri"/>
        </w:rPr>
        <w:t>definido</w:t>
      </w:r>
      <w:r>
        <w:rPr>
          <w:rFonts w:ascii="Calibri" w:eastAsia="Calibri" w:hAnsi="Calibri" w:cs="Calibri"/>
          <w:color w:val="000000"/>
        </w:rPr>
        <w:t xml:space="preserve"> en el marco de la </w:t>
      </w:r>
      <w:r>
        <w:rPr>
          <w:rFonts w:ascii="Calibri" w:eastAsia="Calibri" w:hAnsi="Calibri" w:cs="Calibri"/>
        </w:rPr>
        <w:t>secretaría</w:t>
      </w:r>
      <w:r>
        <w:rPr>
          <w:rFonts w:ascii="Calibri" w:eastAsia="Calibri" w:hAnsi="Calibri" w:cs="Calibri"/>
          <w:color w:val="000000"/>
        </w:rPr>
        <w:t xml:space="preserve"> técnica, Uruguay (Presidencia en ejercicio) y la Consultora </w:t>
      </w:r>
      <w:proofErr w:type="spellStart"/>
      <w:r>
        <w:rPr>
          <w:rFonts w:ascii="Calibri" w:eastAsia="Calibri" w:hAnsi="Calibri" w:cs="Calibri"/>
          <w:color w:val="000000"/>
        </w:rPr>
        <w:t>Datamorf</w:t>
      </w:r>
      <w:r>
        <w:rPr>
          <w:rFonts w:ascii="Calibri" w:eastAsia="Calibri" w:hAnsi="Calibri" w:cs="Calibri"/>
        </w:rPr>
        <w:t>o</w:t>
      </w:r>
      <w:r>
        <w:rPr>
          <w:rFonts w:ascii="Calibri" w:eastAsia="Calibri" w:hAnsi="Calibri" w:cs="Calibri"/>
          <w:color w:val="000000"/>
        </w:rPr>
        <w:t>sis</w:t>
      </w:r>
      <w:proofErr w:type="spellEnd"/>
      <w:r>
        <w:rPr>
          <w:rFonts w:ascii="Calibri" w:eastAsia="Calibri" w:hAnsi="Calibri" w:cs="Calibri"/>
          <w:color w:val="000000"/>
        </w:rPr>
        <w:t xml:space="preserve"> (responsable de desarrollo de productos). </w:t>
      </w:r>
    </w:p>
    <w:p w14:paraId="00000031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sz w:val="28"/>
          <w:szCs w:val="28"/>
        </w:rPr>
      </w:pPr>
    </w:p>
    <w:p w14:paraId="00000032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Productos y avances</w:t>
      </w:r>
    </w:p>
    <w:p w14:paraId="00000033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Cada línea de acción contiene un conjunto de productos que se desarrollarán a los efectos de dar cumplimiento a los objetivos de la Hoja de Ruta aprobada para el 2024 – 2025. </w:t>
      </w:r>
    </w:p>
    <w:p w14:paraId="00000034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A continuación, se describe por la línea de acción los productos y </w:t>
      </w:r>
      <w:r>
        <w:rPr>
          <w:rFonts w:ascii="Calibri" w:eastAsia="Calibri" w:hAnsi="Calibri" w:cs="Calibri"/>
          <w:b/>
          <w:color w:val="000000"/>
        </w:rPr>
        <w:t>sus avances al 31 de mayo de 2025:</w:t>
      </w:r>
    </w:p>
    <w:p w14:paraId="00000035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color w:val="000000"/>
        </w:rPr>
      </w:pPr>
    </w:p>
    <w:p w14:paraId="00000036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sz w:val="28"/>
          <w:szCs w:val="28"/>
        </w:rPr>
      </w:pPr>
    </w:p>
    <w:p w14:paraId="00000037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sz w:val="28"/>
          <w:szCs w:val="28"/>
        </w:rPr>
      </w:pPr>
    </w:p>
    <w:p w14:paraId="00000038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lastRenderedPageBreak/>
        <w:t>Línea 1. Gobernanza y regulación</w:t>
      </w:r>
    </w:p>
    <w:tbl>
      <w:tblPr>
        <w:tblStyle w:val="a3"/>
        <w:tblW w:w="1021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90"/>
        <w:gridCol w:w="3955"/>
        <w:gridCol w:w="1695"/>
        <w:gridCol w:w="1575"/>
      </w:tblGrid>
      <w:tr w:rsidR="00FF7AB9" w14:paraId="707FE77C" w14:textId="77777777">
        <w:tc>
          <w:tcPr>
            <w:tcW w:w="2990" w:type="dxa"/>
            <w:shd w:val="clear" w:color="auto" w:fill="002060"/>
          </w:tcPr>
          <w:p w14:paraId="00000039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sdt>
              <w:sdtPr>
                <w:tag w:val="goog_rdk_1"/>
                <w:id w:val="813758992"/>
              </w:sdtPr>
              <w:sdtEndPr/>
              <w:sdtContent/>
            </w:sdt>
            <w:r>
              <w:rPr>
                <w:rFonts w:ascii="Calibri" w:eastAsia="Calibri" w:hAnsi="Calibri" w:cs="Calibri"/>
                <w:b/>
                <w:color w:val="FFFFFF"/>
              </w:rPr>
              <w:t>Productos</w:t>
            </w:r>
          </w:p>
        </w:tc>
        <w:tc>
          <w:tcPr>
            <w:tcW w:w="3955" w:type="dxa"/>
            <w:shd w:val="clear" w:color="auto" w:fill="002060"/>
          </w:tcPr>
          <w:p w14:paraId="0000003A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Avances</w:t>
            </w:r>
          </w:p>
        </w:tc>
        <w:tc>
          <w:tcPr>
            <w:tcW w:w="1695" w:type="dxa"/>
            <w:shd w:val="clear" w:color="auto" w:fill="002060"/>
          </w:tcPr>
          <w:p w14:paraId="0000003B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Responsable de desarrollo</w:t>
            </w:r>
          </w:p>
        </w:tc>
        <w:tc>
          <w:tcPr>
            <w:tcW w:w="1575" w:type="dxa"/>
            <w:shd w:val="clear" w:color="auto" w:fill="002060"/>
          </w:tcPr>
          <w:p w14:paraId="0000003C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Fecha finalización</w:t>
            </w:r>
          </w:p>
        </w:tc>
      </w:tr>
      <w:tr w:rsidR="00FF7AB9" w14:paraId="75E06280" w14:textId="77777777">
        <w:tc>
          <w:tcPr>
            <w:tcW w:w="2990" w:type="dxa"/>
          </w:tcPr>
          <w:p w14:paraId="0000003D" w14:textId="77777777" w:rsidR="00FF7AB9" w:rsidRDefault="00952E5E">
            <w:pPr>
              <w:numPr>
                <w:ilvl w:val="1"/>
                <w:numId w:val="10"/>
              </w:num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after="0" w:line="360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Modelos de Gobernanza y evolución de la regulación en ALC.</w:t>
            </w:r>
          </w:p>
          <w:p w14:paraId="0000003E" w14:textId="77777777" w:rsidR="00FF7AB9" w:rsidRDefault="00952E5E">
            <w:pPr>
              <w:numPr>
                <w:ilvl w:val="0"/>
                <w:numId w:val="2"/>
              </w:numPr>
              <w:spacing w:after="0" w:line="276" w:lineRule="auto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Reporte de mejores prácticas de gobernanza de la IA en LATAM</w:t>
            </w:r>
          </w:p>
          <w:p w14:paraId="0000003F" w14:textId="77777777" w:rsidR="00FF7AB9" w:rsidRDefault="00952E5E">
            <w:pPr>
              <w:numPr>
                <w:ilvl w:val="0"/>
                <w:numId w:val="2"/>
              </w:numPr>
              <w:spacing w:after="0" w:line="276" w:lineRule="auto"/>
              <w:rPr>
                <w:rFonts w:ascii="Calibri" w:eastAsia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Templates</w:t>
            </w:r>
            <w:proofErr w:type="spellEnd"/>
            <w:r>
              <w:rPr>
                <w:rFonts w:ascii="Calibri" w:eastAsia="Calibri" w:hAnsi="Calibri" w:cs="Calibri"/>
                <w:sz w:val="20"/>
                <w:szCs w:val="20"/>
              </w:rPr>
              <w:t xml:space="preserve"> de modelos de gobernanza</w:t>
            </w:r>
          </w:p>
          <w:p w14:paraId="00000040" w14:textId="77777777" w:rsidR="00FF7AB9" w:rsidRDefault="00FF7AB9">
            <w:pPr>
              <w:spacing w:after="0" w:line="276" w:lineRule="auto"/>
              <w:ind w:left="72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3955" w:type="dxa"/>
          </w:tcPr>
          <w:p w14:paraId="00000041" w14:textId="77777777" w:rsidR="00FF7AB9" w:rsidRDefault="00952E5E">
            <w:pPr>
              <w:numPr>
                <w:ilvl w:val="0"/>
                <w:numId w:val="1"/>
              </w:numPr>
              <w:spacing w:after="0" w:line="360" w:lineRule="auto"/>
              <w:ind w:left="425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Se presentó el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outline</w:t>
            </w:r>
            <w:proofErr w:type="spellEnd"/>
            <w:r>
              <w:rPr>
                <w:rFonts w:ascii="Calibri" w:eastAsia="Calibri" w:hAnsi="Calibri" w:cs="Calibri"/>
                <w:sz w:val="20"/>
                <w:szCs w:val="20"/>
              </w:rPr>
              <w:t xml:space="preserve"> del producto en la reunión 2 del subgrupo de trabajo</w:t>
            </w:r>
          </w:p>
          <w:p w14:paraId="00000042" w14:textId="77777777" w:rsidR="00FF7AB9" w:rsidRDefault="00952E5E">
            <w:pPr>
              <w:numPr>
                <w:ilvl w:val="0"/>
                <w:numId w:val="1"/>
              </w:numPr>
              <w:spacing w:after="0" w:line="360" w:lineRule="auto"/>
              <w:ind w:left="425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En la reunión 3 del subgrupo se compartió un avance del reporte (países y elementos) y se hizo un CTA para identificar más elementos de gobernanza (Brasil y Perú comparten interés)</w:t>
            </w:r>
          </w:p>
          <w:p w14:paraId="00000043" w14:textId="77777777" w:rsidR="00FF7AB9" w:rsidRDefault="00952E5E">
            <w:pPr>
              <w:numPr>
                <w:ilvl w:val="0"/>
                <w:numId w:val="1"/>
              </w:numPr>
              <w:spacing w:after="0" w:line="360" w:lineRule="auto"/>
              <w:ind w:left="425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Se inician entrevistas con países (Perú, Brasil y Uruguay) para validar y complementar información sobre gobernanza de IA</w:t>
            </w:r>
          </w:p>
          <w:p w14:paraId="00000044" w14:textId="77777777" w:rsidR="00FF7AB9" w:rsidRDefault="00952E5E">
            <w:pPr>
              <w:numPr>
                <w:ilvl w:val="0"/>
                <w:numId w:val="1"/>
              </w:numPr>
              <w:spacing w:line="360" w:lineRule="auto"/>
              <w:ind w:left="425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Se proyecta que en la reunión de julio se presente la primera versión del Reporte</w:t>
            </w:r>
          </w:p>
        </w:tc>
        <w:tc>
          <w:tcPr>
            <w:tcW w:w="1695" w:type="dxa"/>
          </w:tcPr>
          <w:p w14:paraId="00000045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Datamorfosis</w:t>
            </w:r>
            <w:proofErr w:type="spellEnd"/>
          </w:p>
        </w:tc>
        <w:tc>
          <w:tcPr>
            <w:tcW w:w="1575" w:type="dxa"/>
          </w:tcPr>
          <w:p w14:paraId="00000046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Agosto - </w:t>
            </w:r>
            <w:proofErr w:type="gramStart"/>
            <w:r>
              <w:rPr>
                <w:rFonts w:ascii="Calibri" w:eastAsia="Calibri" w:hAnsi="Calibri" w:cs="Calibri"/>
              </w:rPr>
              <w:t>septiembre  2025</w:t>
            </w:r>
            <w:proofErr w:type="gramEnd"/>
          </w:p>
        </w:tc>
      </w:tr>
      <w:tr w:rsidR="00FF7AB9" w14:paraId="62340B05" w14:textId="77777777">
        <w:tc>
          <w:tcPr>
            <w:tcW w:w="2990" w:type="dxa"/>
          </w:tcPr>
          <w:p w14:paraId="00000047" w14:textId="77777777" w:rsidR="00FF7AB9" w:rsidRDefault="00952E5E">
            <w:p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ind w:left="3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1.2. Metodología para el diseño de propuestas regulatorias para la IA</w:t>
            </w:r>
          </w:p>
          <w:p w14:paraId="00000048" w14:textId="77777777" w:rsidR="00FF7AB9" w:rsidRDefault="00952E5E">
            <w:pPr>
              <w:numPr>
                <w:ilvl w:val="0"/>
                <w:numId w:val="11"/>
              </w:num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Hoja de ruta para el diseño de propuestas regulatorias para la IA.</w:t>
            </w:r>
          </w:p>
          <w:p w14:paraId="00000049" w14:textId="77777777" w:rsidR="00FF7AB9" w:rsidRDefault="00FF7AB9">
            <w:p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ind w:left="3"/>
              <w:jc w:val="both"/>
              <w:rPr>
                <w:rFonts w:ascii="Calibri" w:eastAsia="Calibri" w:hAnsi="Calibri" w:cs="Calibri"/>
              </w:rPr>
            </w:pPr>
          </w:p>
          <w:p w14:paraId="0000004A" w14:textId="77777777" w:rsidR="00FF7AB9" w:rsidRDefault="00FF7AB9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3955" w:type="dxa"/>
          </w:tcPr>
          <w:p w14:paraId="0000004B" w14:textId="77777777" w:rsidR="00FF7AB9" w:rsidRDefault="00952E5E">
            <w:pPr>
              <w:numPr>
                <w:ilvl w:val="0"/>
                <w:numId w:val="14"/>
              </w:numPr>
              <w:spacing w:after="0" w:line="360" w:lineRule="auto"/>
              <w:ind w:left="425" w:hanging="359"/>
              <w:jc w:val="both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Se presentó el producto en la reunión 1 del subgrupo de trabajo</w:t>
            </w:r>
          </w:p>
          <w:p w14:paraId="0000004C" w14:textId="77777777" w:rsidR="00FF7AB9" w:rsidRDefault="00952E5E">
            <w:pPr>
              <w:numPr>
                <w:ilvl w:val="0"/>
                <w:numId w:val="14"/>
              </w:numPr>
              <w:spacing w:after="0" w:line="360" w:lineRule="auto"/>
              <w:ind w:left="425" w:hanging="359"/>
              <w:jc w:val="both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Se compartió el documento para revisión de las personas integrantes del subgrupo después de la reunión 2 del subgrupo</w:t>
            </w:r>
          </w:p>
          <w:p w14:paraId="0000004D" w14:textId="77777777" w:rsidR="00FF7AB9" w:rsidRDefault="00952E5E">
            <w:pPr>
              <w:numPr>
                <w:ilvl w:val="0"/>
                <w:numId w:val="14"/>
              </w:numPr>
              <w:spacing w:after="0" w:line="360" w:lineRule="auto"/>
              <w:ind w:left="425" w:hanging="359"/>
              <w:jc w:val="both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En la reunión 3 del subgrupo (13/05/25) se revisó el documento de la fase 1 a la fase 5. </w:t>
            </w:r>
          </w:p>
          <w:p w14:paraId="0000004E" w14:textId="77777777" w:rsidR="00FF7AB9" w:rsidRDefault="00952E5E">
            <w:pPr>
              <w:numPr>
                <w:ilvl w:val="0"/>
                <w:numId w:val="14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En la reunión 4 del subgrupo (12/06/25) se revisará el documento, específicamente de la fase 6 a la 10. Con ambas revisiones se ajustará el documento.</w:t>
            </w:r>
          </w:p>
        </w:tc>
        <w:tc>
          <w:tcPr>
            <w:tcW w:w="1695" w:type="dxa"/>
          </w:tcPr>
          <w:p w14:paraId="0000004F" w14:textId="003C710D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CAF + UNESCO (María Fernanda Arciniegas + Natalia González</w:t>
            </w:r>
            <w:r>
              <w:rPr>
                <w:rFonts w:ascii="Calibri" w:eastAsia="Calibri" w:hAnsi="Calibri" w:cs="Calibri"/>
              </w:rPr>
              <w:t>)</w:t>
            </w:r>
          </w:p>
        </w:tc>
        <w:tc>
          <w:tcPr>
            <w:tcW w:w="1575" w:type="dxa"/>
          </w:tcPr>
          <w:p w14:paraId="00000050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sdt>
              <w:sdtPr>
                <w:tag w:val="goog_rdk_3"/>
                <w:id w:val="598991082"/>
              </w:sdtPr>
              <w:sdtEndPr/>
              <w:sdtContent>
                <w:sdt>
                  <w:sdtPr>
                    <w:tag w:val="goog_rdk_4"/>
                    <w:id w:val="2019499191"/>
                  </w:sdtPr>
                  <w:sdtEndPr/>
                  <w:sdtContent>
                    <w:commentRangeStart w:id="0"/>
                  </w:sdtContent>
                </w:sdt>
                <w:sdt>
                  <w:sdtPr>
                    <w:tag w:val="goog_rdk_5"/>
                    <w:id w:val="-143586481"/>
                  </w:sdtPr>
                  <w:sdtEndPr/>
                  <w:sdtContent>
                    <w:commentRangeStart w:id="1"/>
                  </w:sdtContent>
                </w:sdt>
                <w:r w:rsidRPr="00952E5E">
                  <w:rPr>
                    <w:rFonts w:ascii="Calibri" w:eastAsia="Calibri" w:hAnsi="Calibri" w:cs="Calibri"/>
                  </w:rPr>
                  <w:t>Julio 2025</w:t>
                </w:r>
              </w:sdtContent>
            </w:sdt>
            <w:commentRangeEnd w:id="0"/>
            <w:r>
              <w:commentReference w:id="0"/>
            </w:r>
            <w:commentRangeEnd w:id="1"/>
            <w:r>
              <w:commentReference w:id="1"/>
            </w:r>
          </w:p>
        </w:tc>
      </w:tr>
      <w:tr w:rsidR="00FF7AB9" w14:paraId="0197A912" w14:textId="77777777">
        <w:tc>
          <w:tcPr>
            <w:tcW w:w="2990" w:type="dxa"/>
          </w:tcPr>
          <w:p w14:paraId="00000051" w14:textId="77777777" w:rsidR="00FF7AB9" w:rsidRDefault="00952E5E">
            <w:p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ind w:left="3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>1.3 Mecanismo de coordinación para abordar el impacto de la IA sobre la desinformación en la región</w:t>
            </w:r>
          </w:p>
          <w:p w14:paraId="00000052" w14:textId="77777777" w:rsidR="00FF7AB9" w:rsidRDefault="00952E5E">
            <w:pPr>
              <w:numPr>
                <w:ilvl w:val="0"/>
                <w:numId w:val="9"/>
              </w:numPr>
              <w:pBdr>
                <w:top w:val="none" w:sz="0" w:space="0" w:color="E3E3E3"/>
                <w:left w:val="none" w:sz="0" w:space="0" w:color="E3E3E3"/>
                <w:bottom w:val="none" w:sz="0" w:space="0" w:color="E3E3E3"/>
                <w:right w:val="none" w:sz="0" w:space="0" w:color="E3E3E3"/>
                <w:between w:val="none" w:sz="0" w:space="0" w:color="E3E3E3"/>
              </w:pBdr>
              <w:shd w:val="clear" w:color="auto" w:fill="FFFFFF"/>
              <w:spacing w:line="360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Avenir" w:eastAsia="Avenir" w:hAnsi="Avenir" w:cs="Avenir"/>
                <w:color w:val="000000"/>
                <w:sz w:val="20"/>
                <w:szCs w:val="20"/>
              </w:rPr>
              <w:t>Manual de políticas para combatir la desinformación</w:t>
            </w:r>
          </w:p>
          <w:p w14:paraId="00000053" w14:textId="77777777" w:rsidR="00FF7AB9" w:rsidRDefault="00FF7AB9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3955" w:type="dxa"/>
          </w:tcPr>
          <w:p w14:paraId="00000054" w14:textId="77777777" w:rsidR="00FF7AB9" w:rsidRDefault="00952E5E">
            <w:pPr>
              <w:numPr>
                <w:ilvl w:val="0"/>
                <w:numId w:val="18"/>
              </w:numPr>
              <w:spacing w:after="0" w:line="360" w:lineRule="auto"/>
              <w:ind w:left="425" w:hanging="359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En la reunión 4 del subgrupo (12/06/25) se comparte que se enviará a los países la lista de personas consideradas para conformar el grupo de especialistas. Se hace un CTA para que en caso de que identifiquen a alguien más compartan su contacto.</w:t>
            </w:r>
          </w:p>
          <w:p w14:paraId="00000055" w14:textId="77777777" w:rsidR="00FF7AB9" w:rsidRDefault="00952E5E">
            <w:pPr>
              <w:numPr>
                <w:ilvl w:val="0"/>
                <w:numId w:val="18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A partir de las reuniones del grupo de especialistas y del trabajo se generará el Manual</w:t>
            </w:r>
          </w:p>
        </w:tc>
        <w:tc>
          <w:tcPr>
            <w:tcW w:w="1695" w:type="dxa"/>
          </w:tcPr>
          <w:p w14:paraId="00000056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Datamorfosis</w:t>
            </w:r>
            <w:proofErr w:type="spellEnd"/>
          </w:p>
        </w:tc>
        <w:tc>
          <w:tcPr>
            <w:tcW w:w="1575" w:type="dxa"/>
          </w:tcPr>
          <w:p w14:paraId="00000057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Octubre 2025</w:t>
            </w:r>
          </w:p>
        </w:tc>
      </w:tr>
    </w:tbl>
    <w:p w14:paraId="00000058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</w:rPr>
      </w:pPr>
    </w:p>
    <w:p w14:paraId="00000059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Línea 2. Talento y futuro del trabajo</w:t>
      </w:r>
    </w:p>
    <w:tbl>
      <w:tblPr>
        <w:tblStyle w:val="a4"/>
        <w:tblW w:w="1021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3827"/>
        <w:gridCol w:w="1701"/>
        <w:gridCol w:w="1714"/>
      </w:tblGrid>
      <w:tr w:rsidR="00FF7AB9" w14:paraId="323DBA62" w14:textId="77777777">
        <w:tc>
          <w:tcPr>
            <w:tcW w:w="2972" w:type="dxa"/>
            <w:shd w:val="clear" w:color="auto" w:fill="002060"/>
          </w:tcPr>
          <w:p w14:paraId="0000005A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Productos</w:t>
            </w:r>
          </w:p>
        </w:tc>
        <w:tc>
          <w:tcPr>
            <w:tcW w:w="3827" w:type="dxa"/>
            <w:shd w:val="clear" w:color="auto" w:fill="002060"/>
          </w:tcPr>
          <w:p w14:paraId="0000005B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Avances</w:t>
            </w:r>
          </w:p>
        </w:tc>
        <w:tc>
          <w:tcPr>
            <w:tcW w:w="1701" w:type="dxa"/>
            <w:shd w:val="clear" w:color="auto" w:fill="002060"/>
          </w:tcPr>
          <w:p w14:paraId="0000005C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Responsable de desarrollo</w:t>
            </w:r>
          </w:p>
        </w:tc>
        <w:tc>
          <w:tcPr>
            <w:tcW w:w="1714" w:type="dxa"/>
            <w:shd w:val="clear" w:color="auto" w:fill="002060"/>
          </w:tcPr>
          <w:p w14:paraId="0000005D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Fecha finalización</w:t>
            </w:r>
          </w:p>
        </w:tc>
      </w:tr>
      <w:tr w:rsidR="00FF7AB9" w14:paraId="53F8FFE5" w14:textId="77777777">
        <w:tc>
          <w:tcPr>
            <w:tcW w:w="2972" w:type="dxa"/>
          </w:tcPr>
          <w:p w14:paraId="0000005E" w14:textId="77777777" w:rsidR="00FF7AB9" w:rsidRDefault="00952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ind w:left="3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2.1. Marco para la alfabetización y aprovechamiento de la IA</w:t>
            </w:r>
          </w:p>
          <w:p w14:paraId="0000005F" w14:textId="77777777" w:rsidR="00FF7AB9" w:rsidRDefault="00952E5E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hyperlink r:id="rId11">
              <w:r>
                <w:rPr>
                  <w:rFonts w:ascii="Calibri" w:eastAsia="Calibri" w:hAnsi="Calibri" w:cs="Calibri"/>
                  <w:color w:val="0000FF"/>
                  <w:sz w:val="20"/>
                  <w:szCs w:val="20"/>
                  <w:u w:val="single"/>
                </w:rPr>
                <w:t>Documento “Marco de competencias para la IA en ALC”.</w:t>
              </w:r>
            </w:hyperlink>
          </w:p>
          <w:p w14:paraId="00000060" w14:textId="77777777" w:rsidR="00FF7AB9" w:rsidRDefault="00FF7A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ind w:left="363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  <w:p w14:paraId="00000061" w14:textId="77777777" w:rsidR="00FF7AB9" w:rsidRDefault="00FF7AB9">
            <w:pPr>
              <w:spacing w:line="36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3827" w:type="dxa"/>
          </w:tcPr>
          <w:p w14:paraId="00000062" w14:textId="77777777" w:rsidR="00FF7AB9" w:rsidRDefault="00952E5E">
            <w:pPr>
              <w:numPr>
                <w:ilvl w:val="0"/>
                <w:numId w:val="17"/>
              </w:numPr>
              <w:spacing w:after="0"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El documento cuenta con las revisiones, aportes, comentarios de los miembros del subgrupo. Se están sistematizando los aportes, comentarios que surgieron de la última reunión (15/5) y los que surjan desde el nuevo plazo otorgado (30 de mayo).</w:t>
            </w:r>
          </w:p>
          <w:p w14:paraId="00000063" w14:textId="77777777" w:rsidR="00FF7AB9" w:rsidRDefault="00952E5E">
            <w:pPr>
              <w:numPr>
                <w:ilvl w:val="0"/>
                <w:numId w:val="17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Una vez sistematizados los aportes, se genera versión preliminar para validación del subgrupo en próxima reunión.</w:t>
            </w:r>
          </w:p>
        </w:tc>
        <w:tc>
          <w:tcPr>
            <w:tcW w:w="1701" w:type="dxa"/>
          </w:tcPr>
          <w:p w14:paraId="00000064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CAF </w:t>
            </w:r>
          </w:p>
          <w:p w14:paraId="00000065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(María Fernanda Arciniegas)</w:t>
            </w:r>
          </w:p>
        </w:tc>
        <w:tc>
          <w:tcPr>
            <w:tcW w:w="1714" w:type="dxa"/>
          </w:tcPr>
          <w:p w14:paraId="00000066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</w:t>
            </w:r>
            <w:sdt>
              <w:sdtPr>
                <w:tag w:val="goog_rdk_6"/>
                <w:id w:val="172532813"/>
              </w:sdtPr>
              <w:sdtEndPr/>
              <w:sdtContent>
                <w:commentRangeStart w:id="2"/>
              </w:sdtContent>
            </w:sdt>
            <w:sdt>
              <w:sdtPr>
                <w:tag w:val="goog_rdk_7"/>
                <w:id w:val="-2086058138"/>
              </w:sdtPr>
              <w:sdtEndPr/>
              <w:sdtContent>
                <w:commentRangeStart w:id="3"/>
              </w:sdtContent>
            </w:sdt>
            <w:sdt>
              <w:sdtPr>
                <w:tag w:val="goog_rdk_8"/>
                <w:id w:val="1743056995"/>
              </w:sdtPr>
              <w:sdtEndPr/>
              <w:sdtContent>
                <w:commentRangeStart w:id="4"/>
              </w:sdtContent>
            </w:sdt>
            <w:r>
              <w:rPr>
                <w:rFonts w:ascii="Calibri" w:eastAsia="Calibri" w:hAnsi="Calibri" w:cs="Calibri"/>
              </w:rPr>
              <w:t>ulio 2025</w:t>
            </w:r>
            <w:commentRangeEnd w:id="2"/>
            <w:r>
              <w:commentReference w:id="2"/>
            </w:r>
            <w:commentRangeEnd w:id="3"/>
            <w:r>
              <w:commentReference w:id="3"/>
            </w:r>
            <w:commentRangeEnd w:id="4"/>
            <w:r>
              <w:commentReference w:id="4"/>
            </w:r>
          </w:p>
        </w:tc>
      </w:tr>
      <w:tr w:rsidR="00FF7AB9" w14:paraId="000FFF75" w14:textId="77777777">
        <w:tc>
          <w:tcPr>
            <w:tcW w:w="2972" w:type="dxa"/>
          </w:tcPr>
          <w:p w14:paraId="00000067" w14:textId="77777777" w:rsidR="00FF7AB9" w:rsidRDefault="00952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ind w:left="3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sdt>
              <w:sdtPr>
                <w:tag w:val="goog_rdk_9"/>
                <w:id w:val="620493983"/>
              </w:sdtPr>
              <w:sdtEndPr/>
              <w:sdtContent/>
            </w:sdt>
            <w:r>
              <w:rPr>
                <w:rFonts w:ascii="Calibri" w:eastAsia="Calibri" w:hAnsi="Calibri" w:cs="Calibri"/>
                <w:color w:val="000000"/>
              </w:rPr>
              <w:t xml:space="preserve">2.2 Ciclo de talleres: </w:t>
            </w:r>
            <w:r>
              <w:rPr>
                <w:rFonts w:ascii="Calibri" w:eastAsia="Calibri" w:hAnsi="Calibri" w:cs="Calibri"/>
                <w:color w:val="000000"/>
              </w:rPr>
              <w:t>IA para líderes y tomadores de decisión </w:t>
            </w:r>
          </w:p>
          <w:p w14:paraId="00000068" w14:textId="77777777" w:rsidR="00FF7AB9" w:rsidRDefault="00FF7AB9">
            <w:pPr>
              <w:spacing w:line="36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3827" w:type="dxa"/>
          </w:tcPr>
          <w:p w14:paraId="00000069" w14:textId="77777777" w:rsidR="00FF7AB9" w:rsidRDefault="00952E5E">
            <w:pPr>
              <w:numPr>
                <w:ilvl w:val="0"/>
                <w:numId w:val="15"/>
              </w:numPr>
              <w:spacing w:after="0"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lastRenderedPageBreak/>
              <w:t xml:space="preserve">Los talleres se proponen para abordar los desafíos identificados en la Hoja de Ruta, como la falta de capacidades locales y marcos éticos en el uso de IA, </w:t>
            </w:r>
            <w:r>
              <w:rPr>
                <w:rFonts w:ascii="Calibri" w:eastAsia="Calibri" w:hAnsi="Calibri" w:cs="Calibri"/>
                <w:sz w:val="20"/>
                <w:szCs w:val="20"/>
              </w:rPr>
              <w:lastRenderedPageBreak/>
              <w:t>así como promover soluciones que impacten positivamente en la calidad de vida de los ciudadanos.</w:t>
            </w:r>
          </w:p>
          <w:p w14:paraId="0000006A" w14:textId="77777777" w:rsidR="00FF7AB9" w:rsidRDefault="00952E5E">
            <w:pPr>
              <w:numPr>
                <w:ilvl w:val="0"/>
                <w:numId w:val="15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Su objetivo es fortalecer las capacidades de funcionarios públicos, tomadores de decisión y líderes institucionales en América Latina y el Caribe para implementar y regular el uso de la inteligencia artificial de manera ética, inclusiva y sostenible.</w:t>
            </w:r>
          </w:p>
        </w:tc>
        <w:tc>
          <w:tcPr>
            <w:tcW w:w="1701" w:type="dxa"/>
          </w:tcPr>
          <w:p w14:paraId="0000006B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>CAF (</w:t>
            </w:r>
            <w:proofErr w:type="spellStart"/>
            <w:r>
              <w:rPr>
                <w:rFonts w:ascii="Calibri" w:eastAsia="Calibri" w:hAnsi="Calibri" w:cs="Calibri"/>
              </w:rPr>
              <w:t>Datamorfosis</w:t>
            </w:r>
            <w:proofErr w:type="spellEnd"/>
            <w:r>
              <w:rPr>
                <w:rFonts w:ascii="Calibri" w:eastAsia="Calibri" w:hAnsi="Calibri" w:cs="Calibri"/>
              </w:rPr>
              <w:t>)</w:t>
            </w:r>
          </w:p>
        </w:tc>
        <w:tc>
          <w:tcPr>
            <w:tcW w:w="1714" w:type="dxa"/>
          </w:tcPr>
          <w:p w14:paraId="0000006C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Octubre 2025</w:t>
            </w:r>
          </w:p>
        </w:tc>
      </w:tr>
    </w:tbl>
    <w:p w14:paraId="0000006D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sz w:val="28"/>
          <w:szCs w:val="28"/>
        </w:rPr>
      </w:pPr>
    </w:p>
    <w:p w14:paraId="0000006F" w14:textId="29C9A231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br w:type="page"/>
      </w:r>
      <w:r>
        <w:rPr>
          <w:rFonts w:ascii="Calibri" w:eastAsia="Calibri" w:hAnsi="Calibri" w:cs="Calibri"/>
          <w:b/>
          <w:color w:val="000000"/>
          <w:sz w:val="28"/>
          <w:szCs w:val="28"/>
        </w:rPr>
        <w:lastRenderedPageBreak/>
        <w:t>Línea 3. Protección de grupos en situación de vulnerabili</w:t>
      </w:r>
      <w:sdt>
        <w:sdtPr>
          <w:tag w:val="goog_rdk_10"/>
          <w:id w:val="26157449"/>
        </w:sdtPr>
        <w:sdtEndPr/>
        <w:sdtContent/>
      </w:sdt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dad </w:t>
      </w:r>
    </w:p>
    <w:tbl>
      <w:tblPr>
        <w:tblStyle w:val="a5"/>
        <w:tblW w:w="1021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3827"/>
        <w:gridCol w:w="1701"/>
        <w:gridCol w:w="1714"/>
      </w:tblGrid>
      <w:tr w:rsidR="00FF7AB9" w14:paraId="5D919D7A" w14:textId="77777777">
        <w:tc>
          <w:tcPr>
            <w:tcW w:w="2972" w:type="dxa"/>
            <w:shd w:val="clear" w:color="auto" w:fill="002060"/>
          </w:tcPr>
          <w:p w14:paraId="00000070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Productos</w:t>
            </w:r>
          </w:p>
        </w:tc>
        <w:tc>
          <w:tcPr>
            <w:tcW w:w="3827" w:type="dxa"/>
            <w:shd w:val="clear" w:color="auto" w:fill="002060"/>
          </w:tcPr>
          <w:p w14:paraId="00000071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Avances</w:t>
            </w:r>
          </w:p>
        </w:tc>
        <w:tc>
          <w:tcPr>
            <w:tcW w:w="1701" w:type="dxa"/>
            <w:shd w:val="clear" w:color="auto" w:fill="002060"/>
          </w:tcPr>
          <w:p w14:paraId="00000072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Responsable de desarrollo</w:t>
            </w:r>
          </w:p>
        </w:tc>
        <w:tc>
          <w:tcPr>
            <w:tcW w:w="1714" w:type="dxa"/>
            <w:shd w:val="clear" w:color="auto" w:fill="002060"/>
          </w:tcPr>
          <w:p w14:paraId="00000073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Fecha finalización</w:t>
            </w:r>
          </w:p>
        </w:tc>
      </w:tr>
      <w:tr w:rsidR="00FF7AB9" w14:paraId="48143422" w14:textId="77777777">
        <w:tc>
          <w:tcPr>
            <w:tcW w:w="2972" w:type="dxa"/>
          </w:tcPr>
          <w:p w14:paraId="00000074" w14:textId="77777777" w:rsidR="00FF7AB9" w:rsidRDefault="00952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ind w:left="3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3.1. Mujeres en IA:  Intercambio de experiencias y Guía para la transversalización del enfoque de género           </w:t>
            </w:r>
          </w:p>
          <w:p w14:paraId="00000075" w14:textId="77777777" w:rsidR="00FF7AB9" w:rsidRDefault="00952E5E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hyperlink r:id="rId12">
              <w:r>
                <w:rPr>
                  <w:rFonts w:ascii="Calibri" w:eastAsia="Calibri" w:hAnsi="Calibri" w:cs="Calibri"/>
                  <w:color w:val="0000FF"/>
                  <w:sz w:val="20"/>
                  <w:szCs w:val="20"/>
                  <w:u w:val="single"/>
                </w:rPr>
                <w:t>Guía para la transversalización del enfoque de género (Documento)</w:t>
              </w:r>
            </w:hyperlink>
          </w:p>
          <w:p w14:paraId="00000076" w14:textId="77777777" w:rsidR="00FF7AB9" w:rsidRDefault="00952E5E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 w:rsidRPr="00952E5E">
              <w:rPr>
                <w:rFonts w:ascii="Calibri" w:eastAsia="Calibri" w:hAnsi="Calibri" w:cs="Calibri"/>
                <w:sz w:val="20"/>
                <w:szCs w:val="20"/>
              </w:rPr>
              <w:t xml:space="preserve">Desarrollar un espacio de diálogo y trabajo a nivel regional para intercambiar experiencias e investigaciones sobre género e Inteligencia Artificial       </w:t>
            </w:r>
            <w:r>
              <w:rPr>
                <w:rFonts w:ascii="Calibri" w:eastAsia="Calibri" w:hAnsi="Calibri" w:cs="Calibri"/>
                <w:color w:val="EE0000"/>
                <w:sz w:val="20"/>
                <w:szCs w:val="20"/>
              </w:rPr>
              <w:t xml:space="preserve">   </w:t>
            </w:r>
          </w:p>
        </w:tc>
        <w:tc>
          <w:tcPr>
            <w:tcW w:w="3827" w:type="dxa"/>
          </w:tcPr>
          <w:p w14:paraId="00000077" w14:textId="77777777" w:rsidR="00FF7AB9" w:rsidRDefault="00952E5E">
            <w:pPr>
              <w:numPr>
                <w:ilvl w:val="0"/>
                <w:numId w:val="4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Se recibieron aportes al documento “Transversalización de la perspectiva de género en políticas de IA”, los cuales serán sistematizados e integrados al mismo. Se otorgó hasta el 6/6 para que los integrantes del subgrupo continúen haciendo aportes.</w:t>
            </w:r>
          </w:p>
        </w:tc>
        <w:tc>
          <w:tcPr>
            <w:tcW w:w="1701" w:type="dxa"/>
          </w:tcPr>
          <w:p w14:paraId="00000079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color w:val="EE0000"/>
              </w:rPr>
            </w:pPr>
            <w:r w:rsidRPr="00952E5E">
              <w:rPr>
                <w:rFonts w:ascii="Calibri" w:eastAsia="Calibri" w:hAnsi="Calibri" w:cs="Calibri"/>
              </w:rPr>
              <w:t>UNESCO</w:t>
            </w:r>
          </w:p>
        </w:tc>
        <w:tc>
          <w:tcPr>
            <w:tcW w:w="1714" w:type="dxa"/>
          </w:tcPr>
          <w:p w14:paraId="0000007A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sdt>
              <w:sdtPr>
                <w:tag w:val="goog_rdk_12"/>
                <w:id w:val="-397204974"/>
              </w:sdtPr>
              <w:sdtEndPr/>
              <w:sdtContent>
                <w:sdt>
                  <w:sdtPr>
                    <w:tag w:val="goog_rdk_13"/>
                    <w:id w:val="1822777709"/>
                  </w:sdtPr>
                  <w:sdtEndPr/>
                  <w:sdtContent>
                    <w:commentRangeStart w:id="5"/>
                  </w:sdtContent>
                </w:sdt>
                <w:r>
                  <w:rPr>
                    <w:rFonts w:ascii="Calibri" w:eastAsia="Calibri" w:hAnsi="Calibri" w:cs="Calibri"/>
                  </w:rPr>
                  <w:t>Validar con NG</w:t>
                </w:r>
              </w:sdtContent>
            </w:sdt>
            <w:commentRangeEnd w:id="5"/>
            <w:r>
              <w:commentReference w:id="5"/>
            </w:r>
          </w:p>
        </w:tc>
      </w:tr>
      <w:tr w:rsidR="00FF7AB9" w14:paraId="331102B5" w14:textId="77777777">
        <w:tc>
          <w:tcPr>
            <w:tcW w:w="2972" w:type="dxa"/>
          </w:tcPr>
          <w:p w14:paraId="0000007B" w14:textId="77777777" w:rsidR="00FF7AB9" w:rsidRDefault="00952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jc w:val="both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</w:rPr>
              <w:t>3.2. Estudio regional sobre racismo y discriminación en el campo de la seguridad pública</w:t>
            </w:r>
            <w:r>
              <w:t xml:space="preserve">     </w:t>
            </w: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  <w:p w14:paraId="0000007C" w14:textId="77777777" w:rsidR="00FF7AB9" w:rsidRDefault="00952E5E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Elaborar un estudio regional sobre racismo y discriminación en el </w:t>
            </w: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lastRenderedPageBreak/>
              <w:t>contexto del desarrollo de IA</w:t>
            </w:r>
          </w:p>
        </w:tc>
        <w:tc>
          <w:tcPr>
            <w:tcW w:w="3827" w:type="dxa"/>
          </w:tcPr>
          <w:p w14:paraId="0000007D" w14:textId="77777777" w:rsidR="00FF7AB9" w:rsidRDefault="00FF7AB9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1701" w:type="dxa"/>
          </w:tcPr>
          <w:p w14:paraId="0000007E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 w:rsidRPr="00952E5E">
              <w:rPr>
                <w:rFonts w:ascii="Calibri" w:eastAsia="Calibri" w:hAnsi="Calibri" w:cs="Calibri"/>
              </w:rPr>
              <w:t>UNESCO</w:t>
            </w:r>
            <w:r>
              <w:rPr>
                <w:rFonts w:ascii="Calibri" w:eastAsia="Calibri" w:hAnsi="Calibri" w:cs="Calibri"/>
                <w:color w:val="EE0000"/>
              </w:rPr>
              <w:t xml:space="preserve"> </w:t>
            </w:r>
          </w:p>
        </w:tc>
        <w:tc>
          <w:tcPr>
            <w:tcW w:w="1714" w:type="dxa"/>
          </w:tcPr>
          <w:p w14:paraId="0000007F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sdt>
              <w:sdtPr>
                <w:tag w:val="goog_rdk_15"/>
                <w:id w:val="986284090"/>
              </w:sdtPr>
              <w:sdtEndPr/>
              <w:sdtContent>
                <w:sdt>
                  <w:sdtPr>
                    <w:tag w:val="goog_rdk_16"/>
                    <w:id w:val="-1807692508"/>
                  </w:sdtPr>
                  <w:sdtEndPr/>
                  <w:sdtContent>
                    <w:commentRangeStart w:id="6"/>
                  </w:sdtContent>
                </w:sdt>
                <w:r>
                  <w:rPr>
                    <w:rFonts w:ascii="Calibri" w:eastAsia="Calibri" w:hAnsi="Calibri" w:cs="Calibri"/>
                  </w:rPr>
                  <w:t>Validar con NG</w:t>
                </w:r>
              </w:sdtContent>
            </w:sdt>
            <w:commentRangeEnd w:id="6"/>
            <w:r>
              <w:commentReference w:id="6"/>
            </w:r>
          </w:p>
        </w:tc>
      </w:tr>
    </w:tbl>
    <w:p w14:paraId="00000080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</w:rPr>
      </w:pPr>
    </w:p>
    <w:p w14:paraId="00000081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</w:rPr>
      </w:pPr>
    </w:p>
    <w:p w14:paraId="00000082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Línea 4. Medio ambiente, sustentabilidad y cambio climático</w:t>
      </w:r>
    </w:p>
    <w:tbl>
      <w:tblPr>
        <w:tblStyle w:val="a6"/>
        <w:tblW w:w="1034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3969"/>
        <w:gridCol w:w="1559"/>
        <w:gridCol w:w="1843"/>
      </w:tblGrid>
      <w:tr w:rsidR="00FF7AB9" w14:paraId="2CE6756C" w14:textId="77777777">
        <w:tc>
          <w:tcPr>
            <w:tcW w:w="2972" w:type="dxa"/>
            <w:shd w:val="clear" w:color="auto" w:fill="002060"/>
          </w:tcPr>
          <w:p w14:paraId="00000083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Productos</w:t>
            </w:r>
          </w:p>
        </w:tc>
        <w:tc>
          <w:tcPr>
            <w:tcW w:w="3969" w:type="dxa"/>
            <w:shd w:val="clear" w:color="auto" w:fill="002060"/>
          </w:tcPr>
          <w:p w14:paraId="00000084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Avances</w:t>
            </w:r>
          </w:p>
        </w:tc>
        <w:tc>
          <w:tcPr>
            <w:tcW w:w="1559" w:type="dxa"/>
            <w:shd w:val="clear" w:color="auto" w:fill="002060"/>
          </w:tcPr>
          <w:p w14:paraId="00000085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Responsable de desarrollo</w:t>
            </w:r>
          </w:p>
        </w:tc>
        <w:tc>
          <w:tcPr>
            <w:tcW w:w="1843" w:type="dxa"/>
            <w:shd w:val="clear" w:color="auto" w:fill="002060"/>
          </w:tcPr>
          <w:p w14:paraId="00000086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sdt>
              <w:sdtPr>
                <w:tag w:val="goog_rdk_17"/>
                <w:id w:val="1564611700"/>
              </w:sdtPr>
              <w:sdtEndPr/>
              <w:sdtContent/>
            </w:sdt>
            <w:r>
              <w:rPr>
                <w:rFonts w:ascii="Calibri" w:eastAsia="Calibri" w:hAnsi="Calibri" w:cs="Calibri"/>
                <w:b/>
                <w:color w:val="FFFFFF"/>
              </w:rPr>
              <w:t xml:space="preserve">Fecha </w:t>
            </w:r>
            <w:r>
              <w:rPr>
                <w:rFonts w:ascii="Calibri" w:eastAsia="Calibri" w:hAnsi="Calibri" w:cs="Calibri"/>
                <w:b/>
                <w:color w:val="FFFFFF"/>
              </w:rPr>
              <w:t>finalización</w:t>
            </w:r>
          </w:p>
        </w:tc>
      </w:tr>
      <w:tr w:rsidR="00FF7AB9" w14:paraId="203382BC" w14:textId="77777777">
        <w:tc>
          <w:tcPr>
            <w:tcW w:w="2972" w:type="dxa"/>
          </w:tcPr>
          <w:p w14:paraId="00000087" w14:textId="77777777" w:rsidR="00FF7AB9" w:rsidRDefault="00952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4.1. Buenas prácticas y recomendaciones ante riesgos de desastres, vigilancia, conservación y protección del medio ambiente</w:t>
            </w:r>
            <w:r>
              <w:t xml:space="preserve">     </w:t>
            </w: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  <w:p w14:paraId="00000088" w14:textId="77777777" w:rsidR="00FF7AB9" w:rsidRDefault="00952E5E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rPr>
                <w:rFonts w:ascii="Calibri" w:eastAsia="Calibri" w:hAnsi="Calibri" w:cs="Calibri"/>
                <w:color w:val="000000"/>
              </w:rPr>
            </w:pPr>
            <w:hyperlink r:id="rId13">
              <w:r>
                <w:rPr>
                  <w:rFonts w:ascii="Calibri" w:eastAsia="Calibri" w:hAnsi="Calibri" w:cs="Calibri"/>
                  <w:color w:val="0000FF"/>
                  <w:sz w:val="20"/>
                  <w:szCs w:val="20"/>
                  <w:u w:val="single"/>
                </w:rPr>
                <w:t>Documento Buenas prácticas y recomendaciones del uso de IA para la sostenibilidad ambiental en América Latina y el Caribe</w:t>
              </w:r>
            </w:hyperlink>
          </w:p>
        </w:tc>
        <w:tc>
          <w:tcPr>
            <w:tcW w:w="3969" w:type="dxa"/>
          </w:tcPr>
          <w:p w14:paraId="00000089" w14:textId="77777777" w:rsidR="00FF7AB9" w:rsidRDefault="00952E5E">
            <w:pPr>
              <w:numPr>
                <w:ilvl w:val="0"/>
                <w:numId w:val="7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Se recibieron aportes de los países al documento, los cuales fueron analizados en reunión de trabajo. Posterior a esta se otorgó nuevo plazo para aportes, los cuales se revisarán en próxima reunión técnica.</w:t>
            </w:r>
          </w:p>
        </w:tc>
        <w:tc>
          <w:tcPr>
            <w:tcW w:w="1559" w:type="dxa"/>
          </w:tcPr>
          <w:p w14:paraId="0000008A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UNESCO</w:t>
            </w:r>
          </w:p>
        </w:tc>
        <w:tc>
          <w:tcPr>
            <w:tcW w:w="1843" w:type="dxa"/>
          </w:tcPr>
          <w:p w14:paraId="0000008B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Validar con NG</w:t>
            </w:r>
          </w:p>
        </w:tc>
      </w:tr>
      <w:tr w:rsidR="00FF7AB9" w14:paraId="732B27A2" w14:textId="77777777">
        <w:tc>
          <w:tcPr>
            <w:tcW w:w="2972" w:type="dxa"/>
          </w:tcPr>
          <w:p w14:paraId="0000008C" w14:textId="77777777" w:rsidR="00FF7AB9" w:rsidRDefault="00952E5E">
            <w:pPr>
              <w:spacing w:line="360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color w:val="000000"/>
              </w:rPr>
              <w:t>4.2. Estudio sobre riesgos ambientales por el uso y desarrollo de la IA en</w:t>
            </w:r>
          </w:p>
        </w:tc>
        <w:tc>
          <w:tcPr>
            <w:tcW w:w="3969" w:type="dxa"/>
          </w:tcPr>
          <w:p w14:paraId="0000008D" w14:textId="77777777" w:rsidR="00FF7AB9" w:rsidRDefault="00952E5E">
            <w:pPr>
              <w:numPr>
                <w:ilvl w:val="0"/>
                <w:numId w:val="6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En la reunión del 16 de junio se comparte </w:t>
            </w:r>
            <w:r>
              <w:rPr>
                <w:rFonts w:ascii="Calibri" w:eastAsia="Calibri" w:hAnsi="Calibri" w:cs="Calibri"/>
                <w:color w:val="222222"/>
                <w:sz w:val="20"/>
                <w:szCs w:val="20"/>
              </w:rPr>
              <w:t>estructura, objetivos y alcance del Producto 4.2.</w:t>
            </w:r>
          </w:p>
        </w:tc>
        <w:tc>
          <w:tcPr>
            <w:tcW w:w="1559" w:type="dxa"/>
          </w:tcPr>
          <w:p w14:paraId="0000008E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Datamorfosis</w:t>
            </w:r>
            <w:proofErr w:type="spellEnd"/>
          </w:p>
        </w:tc>
        <w:tc>
          <w:tcPr>
            <w:tcW w:w="1843" w:type="dxa"/>
          </w:tcPr>
          <w:p w14:paraId="0000008F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Agosto - </w:t>
            </w:r>
            <w:proofErr w:type="gramStart"/>
            <w:r>
              <w:rPr>
                <w:rFonts w:ascii="Calibri" w:eastAsia="Calibri" w:hAnsi="Calibri" w:cs="Calibri"/>
              </w:rPr>
              <w:t>Septiembre</w:t>
            </w:r>
            <w:proofErr w:type="gramEnd"/>
            <w:r>
              <w:rPr>
                <w:rFonts w:ascii="Calibri" w:eastAsia="Calibri" w:hAnsi="Calibri" w:cs="Calibri"/>
              </w:rPr>
              <w:t xml:space="preserve"> 2025</w:t>
            </w:r>
          </w:p>
        </w:tc>
      </w:tr>
    </w:tbl>
    <w:p w14:paraId="00000090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</w:rPr>
      </w:pPr>
    </w:p>
    <w:p w14:paraId="00000091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</w:rPr>
      </w:pPr>
    </w:p>
    <w:p w14:paraId="00000092" w14:textId="77777777" w:rsidR="00FF7AB9" w:rsidRDefault="00952E5E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lastRenderedPageBreak/>
        <w:t>Línea 5. Infraestructura</w:t>
      </w:r>
    </w:p>
    <w:tbl>
      <w:tblPr>
        <w:tblStyle w:val="a7"/>
        <w:tblW w:w="1034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3969"/>
        <w:gridCol w:w="1701"/>
        <w:gridCol w:w="1701"/>
      </w:tblGrid>
      <w:tr w:rsidR="00FF7AB9" w14:paraId="62251080" w14:textId="77777777">
        <w:tc>
          <w:tcPr>
            <w:tcW w:w="2972" w:type="dxa"/>
            <w:shd w:val="clear" w:color="auto" w:fill="002060"/>
          </w:tcPr>
          <w:p w14:paraId="00000093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sdt>
              <w:sdtPr>
                <w:tag w:val="goog_rdk_18"/>
                <w:id w:val="-1288127330"/>
              </w:sdtPr>
              <w:sdtEndPr/>
              <w:sdtContent/>
            </w:sdt>
            <w:r>
              <w:rPr>
                <w:rFonts w:ascii="Calibri" w:eastAsia="Calibri" w:hAnsi="Calibri" w:cs="Calibri"/>
                <w:b/>
                <w:color w:val="FFFFFF"/>
              </w:rPr>
              <w:t>Productos</w:t>
            </w:r>
          </w:p>
        </w:tc>
        <w:tc>
          <w:tcPr>
            <w:tcW w:w="3969" w:type="dxa"/>
            <w:shd w:val="clear" w:color="auto" w:fill="002060"/>
          </w:tcPr>
          <w:p w14:paraId="00000094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Avances</w:t>
            </w:r>
          </w:p>
        </w:tc>
        <w:tc>
          <w:tcPr>
            <w:tcW w:w="1701" w:type="dxa"/>
            <w:shd w:val="clear" w:color="auto" w:fill="002060"/>
          </w:tcPr>
          <w:p w14:paraId="00000095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Responsable de desarrollo</w:t>
            </w:r>
          </w:p>
        </w:tc>
        <w:tc>
          <w:tcPr>
            <w:tcW w:w="1701" w:type="dxa"/>
            <w:shd w:val="clear" w:color="auto" w:fill="002060"/>
          </w:tcPr>
          <w:p w14:paraId="00000096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  <w:b/>
                <w:color w:val="FFFFFF"/>
              </w:rPr>
            </w:pPr>
            <w:r>
              <w:rPr>
                <w:rFonts w:ascii="Calibri" w:eastAsia="Calibri" w:hAnsi="Calibri" w:cs="Calibri"/>
                <w:b/>
                <w:color w:val="FFFFFF"/>
              </w:rPr>
              <w:t>Fecha finalización</w:t>
            </w:r>
          </w:p>
        </w:tc>
      </w:tr>
      <w:tr w:rsidR="00FF7AB9" w14:paraId="42F6E334" w14:textId="77777777">
        <w:tc>
          <w:tcPr>
            <w:tcW w:w="2972" w:type="dxa"/>
          </w:tcPr>
          <w:p w14:paraId="00000097" w14:textId="77777777" w:rsidR="00FF7AB9" w:rsidRDefault="00952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5.1. Estudio regional sobre demanda de infraestructura de computación de alto desempeño (documento)</w:t>
            </w:r>
            <w:r>
              <w:t xml:space="preserve">     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</w:p>
          <w:p w14:paraId="00000098" w14:textId="77777777" w:rsidR="00FF7AB9" w:rsidRDefault="00FF7AB9">
            <w:pPr>
              <w:spacing w:line="36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3969" w:type="dxa"/>
          </w:tcPr>
          <w:p w14:paraId="00000099" w14:textId="77777777" w:rsidR="00FF7AB9" w:rsidRDefault="00952E5E">
            <w:pPr>
              <w:numPr>
                <w:ilvl w:val="0"/>
                <w:numId w:val="3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En la reuni</w:t>
            </w:r>
            <w:r>
              <w:rPr>
                <w:rFonts w:ascii="Calibri" w:eastAsia="Calibri" w:hAnsi="Calibri" w:cs="Calibri"/>
                <w:sz w:val="20"/>
                <w:szCs w:val="20"/>
              </w:rPr>
              <w:t xml:space="preserve">ón 3 del subgrupo se compartió una presentación de FIDE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Partners</w:t>
            </w:r>
            <w:proofErr w:type="spellEnd"/>
            <w:r>
              <w:rPr>
                <w:rFonts w:ascii="Calibri" w:eastAsia="Calibri" w:hAnsi="Calibri" w:cs="Calibri"/>
                <w:sz w:val="20"/>
                <w:szCs w:val="20"/>
              </w:rPr>
              <w:t xml:space="preserve"> que es la consultora responsable de realizar el estudio, se compartió contexto sobre la región, la metodología y el plan de trabajo para realizar el estudio.</w:t>
            </w:r>
          </w:p>
        </w:tc>
        <w:tc>
          <w:tcPr>
            <w:tcW w:w="1701" w:type="dxa"/>
          </w:tcPr>
          <w:p w14:paraId="0000009A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CAF </w:t>
            </w:r>
          </w:p>
          <w:p w14:paraId="0000009B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(FIDE </w:t>
            </w:r>
            <w:proofErr w:type="spellStart"/>
            <w:r>
              <w:rPr>
                <w:rFonts w:ascii="Calibri" w:eastAsia="Calibri" w:hAnsi="Calibri" w:cs="Calibri"/>
              </w:rPr>
              <w:t>Partners</w:t>
            </w:r>
            <w:proofErr w:type="spellEnd"/>
            <w:r>
              <w:rPr>
                <w:rFonts w:ascii="Calibri" w:eastAsia="Calibri" w:hAnsi="Calibri" w:cs="Calibri"/>
              </w:rPr>
              <w:t>)</w:t>
            </w:r>
          </w:p>
        </w:tc>
        <w:tc>
          <w:tcPr>
            <w:tcW w:w="1701" w:type="dxa"/>
          </w:tcPr>
          <w:p w14:paraId="0000009C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Octubre 2025</w:t>
            </w:r>
          </w:p>
        </w:tc>
      </w:tr>
      <w:tr w:rsidR="00FF7AB9" w14:paraId="14772087" w14:textId="77777777">
        <w:tc>
          <w:tcPr>
            <w:tcW w:w="2972" w:type="dxa"/>
          </w:tcPr>
          <w:p w14:paraId="0000009D" w14:textId="77777777" w:rsidR="00FF7AB9" w:rsidRDefault="00952E5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360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5.2. Recomendaciones para la gobernanza de datos para entrenamiento de algoritmos (Documento)</w:t>
            </w:r>
          </w:p>
          <w:p w14:paraId="0000009E" w14:textId="77777777" w:rsidR="00FF7AB9" w:rsidRDefault="00952E5E">
            <w:pPr>
              <w:numPr>
                <w:ilvl w:val="0"/>
                <w:numId w:val="16"/>
              </w:numPr>
              <w:spacing w:after="0"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Reporte de recomendaciones de Gobernanza de Datos y Casos de estudio ALC</w:t>
            </w:r>
          </w:p>
          <w:p w14:paraId="0000009F" w14:textId="77777777" w:rsidR="00FF7AB9" w:rsidRDefault="00FF7AB9">
            <w:pPr>
              <w:spacing w:line="36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3969" w:type="dxa"/>
          </w:tcPr>
          <w:p w14:paraId="000000A0" w14:textId="77777777" w:rsidR="00FF7AB9" w:rsidRDefault="00952E5E">
            <w:pPr>
              <w:numPr>
                <w:ilvl w:val="0"/>
                <w:numId w:val="5"/>
              </w:numPr>
              <w:spacing w:line="360" w:lineRule="auto"/>
              <w:ind w:left="425" w:hanging="359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En la reunión del 6 de junio de 2025 se presentó una visión general del producto: contexto, gobernanza de datos, condiciones previas de gobernanza y gestión y casos de estudio ALC.</w:t>
            </w:r>
          </w:p>
        </w:tc>
        <w:tc>
          <w:tcPr>
            <w:tcW w:w="1701" w:type="dxa"/>
          </w:tcPr>
          <w:p w14:paraId="000000A1" w14:textId="77777777" w:rsidR="00FF7AB9" w:rsidRDefault="00952E5E">
            <w:pPr>
              <w:spacing w:line="360" w:lineRule="auto"/>
              <w:jc w:val="both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Datamorfosis</w:t>
            </w:r>
            <w:proofErr w:type="spellEnd"/>
          </w:p>
        </w:tc>
        <w:tc>
          <w:tcPr>
            <w:tcW w:w="1701" w:type="dxa"/>
          </w:tcPr>
          <w:p w14:paraId="000000A2" w14:textId="77777777" w:rsidR="00FF7AB9" w:rsidRDefault="00952E5E">
            <w:pPr>
              <w:spacing w:line="36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Agosto- septiembre 2025</w:t>
            </w:r>
          </w:p>
        </w:tc>
      </w:tr>
    </w:tbl>
    <w:p w14:paraId="000000A3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  <w:sz w:val="28"/>
          <w:szCs w:val="28"/>
        </w:rPr>
      </w:pPr>
    </w:p>
    <w:p w14:paraId="000000A4" w14:textId="77777777" w:rsidR="00FF7AB9" w:rsidRDefault="00FF7AB9">
      <w:pPr>
        <w:pBdr>
          <w:top w:val="none" w:sz="0" w:space="0" w:color="E3E3E3"/>
          <w:left w:val="none" w:sz="0" w:space="0" w:color="E3E3E3"/>
          <w:bottom w:val="none" w:sz="0" w:space="0" w:color="E3E3E3"/>
          <w:right w:val="none" w:sz="0" w:space="0" w:color="E3E3E3"/>
          <w:between w:val="none" w:sz="0" w:space="0" w:color="E3E3E3"/>
        </w:pBdr>
        <w:shd w:val="clear" w:color="auto" w:fill="FFFFFF"/>
        <w:spacing w:line="360" w:lineRule="auto"/>
        <w:jc w:val="both"/>
        <w:rPr>
          <w:rFonts w:ascii="Calibri" w:eastAsia="Calibri" w:hAnsi="Calibri" w:cs="Calibri"/>
          <w:b/>
          <w:color w:val="000000"/>
        </w:rPr>
      </w:pPr>
    </w:p>
    <w:sectPr w:rsidR="00FF7AB9">
      <w:headerReference w:type="default" r:id="rId14"/>
      <w:footerReference w:type="default" r:id="rId15"/>
      <w:pgSz w:w="12240" w:h="15840"/>
      <w:pgMar w:top="2160" w:right="1008" w:bottom="1440" w:left="1008" w:header="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Andrea Rodriguez" w:date="2025-06-10T06:21:00Z" w:initials="">
    <w:p w14:paraId="000000A8" w14:textId="77777777" w:rsidR="00FF7AB9" w:rsidRDefault="00952E5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Validar con MFA y NG</w:t>
      </w:r>
    </w:p>
  </w:comment>
  <w:comment w:id="1" w:author="Andrea Rodriguez" w:date="2025-06-10T06:25:00Z" w:initials="">
    <w:p w14:paraId="000000A9" w14:textId="77777777" w:rsidR="00FF7AB9" w:rsidRDefault="00952E5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@mfarciniegascaf@gmail.com @nga329@gmail.com</w:t>
      </w:r>
    </w:p>
  </w:comment>
  <w:comment w:id="2" w:author="Leticia Hernandez" w:date="2025-06-01T09:17:00Z" w:initials="">
    <w:p w14:paraId="000000AB" w14:textId="77777777" w:rsidR="00FF7AB9" w:rsidRDefault="00952E5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Validar ambas fechas de finalizaciòn</w:t>
      </w:r>
    </w:p>
  </w:comment>
  <w:comment w:id="3" w:author="Andrea Rodriguez" w:date="2025-06-10T00:41:00Z" w:initials="">
    <w:p w14:paraId="000000AC" w14:textId="77777777" w:rsidR="00FF7AB9" w:rsidRDefault="00952E5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Considero que es viable, hay que validar con MFA</w:t>
      </w:r>
    </w:p>
  </w:comment>
  <w:comment w:id="4" w:author="Andrea Rodriguez" w:date="2025-06-10T06:24:00Z" w:initials="">
    <w:p w14:paraId="000000AD" w14:textId="77777777" w:rsidR="00FF7AB9" w:rsidRDefault="00952E5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@mfarciniegascaf@gmail.com</w:t>
      </w:r>
    </w:p>
  </w:comment>
  <w:comment w:id="5" w:author="Andrea Rodriguez" w:date="2025-06-10T06:26:00Z" w:initials="">
    <w:p w14:paraId="000000A7" w14:textId="77777777" w:rsidR="00FF7AB9" w:rsidRDefault="00952E5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@nga329@gmail.com</w:t>
      </w:r>
    </w:p>
  </w:comment>
  <w:comment w:id="6" w:author="Andrea Rodriguez" w:date="2025-06-10T06:26:00Z" w:initials="">
    <w:p w14:paraId="000000AA" w14:textId="77777777" w:rsidR="00FF7AB9" w:rsidRDefault="00952E5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@nga329@gmail.com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000000A8" w15:done="0"/>
  <w15:commentEx w15:paraId="000000A9" w15:paraIdParent="000000A8" w15:done="0"/>
  <w15:commentEx w15:paraId="000000AB" w15:done="0"/>
  <w15:commentEx w15:paraId="000000AC" w15:paraIdParent="000000AB" w15:done="0"/>
  <w15:commentEx w15:paraId="000000AD" w15:paraIdParent="000000AB" w15:done="0"/>
  <w15:commentEx w15:paraId="000000A7" w15:done="0"/>
  <w15:commentEx w15:paraId="000000AA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000000A8" w16cid:durableId="000000A8"/>
  <w16cid:commentId w16cid:paraId="000000A9" w16cid:durableId="000000A9"/>
  <w16cid:commentId w16cid:paraId="000000AB" w16cid:durableId="000000AB"/>
  <w16cid:commentId w16cid:paraId="000000AC" w16cid:durableId="000000AC"/>
  <w16cid:commentId w16cid:paraId="000000AD" w16cid:durableId="000000AD"/>
  <w16cid:commentId w16cid:paraId="000000A7" w16cid:durableId="000000A7"/>
  <w16cid:commentId w16cid:paraId="000000AA" w16cid:durableId="000000A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B135CB" w14:textId="77777777" w:rsidR="00952E5E" w:rsidRDefault="00952E5E">
      <w:pPr>
        <w:spacing w:after="0" w:line="240" w:lineRule="auto"/>
      </w:pPr>
      <w:r>
        <w:separator/>
      </w:r>
    </w:p>
  </w:endnote>
  <w:endnote w:type="continuationSeparator" w:id="0">
    <w:p w14:paraId="3E25B928" w14:textId="77777777" w:rsidR="00952E5E" w:rsidRDefault="00952E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19E2D909-F27F-4F06-937A-36456D48DE4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BA7F497-6C18-4314-9CA4-E26DF069A2E2}"/>
    <w:embedBold r:id="rId3" w:fontKey="{9C7B6028-F855-4555-BB03-2CE0885ED0F4}"/>
    <w:embedItalic r:id="rId4" w:fontKey="{D69D791A-0F2F-4135-BAF3-48E9EC3A7EB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756EF1A6-9FE1-42BF-AACB-99DBCCAA29DB}"/>
    <w:embedBold r:id="rId6" w:fontKey="{734B85E9-9278-4F7B-9BD7-86228FA7918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9B3A7698-05B5-423D-B9AF-46C89F9BC150}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  <w:embedBold r:id="rId8" w:fontKey="{5A5187C6-4801-4AEA-AB63-949868FE0DC1}"/>
  </w:font>
  <w:font w:name="Inter ExtraBold">
    <w:altName w:val="Calibri"/>
    <w:charset w:val="00"/>
    <w:family w:val="auto"/>
    <w:pitch w:val="default"/>
    <w:embedRegular r:id="rId9" w:fontKey="{77C7A6DA-DA41-449F-B84D-C4E0E3C13E31}"/>
  </w:font>
  <w:font w:name="Avenir">
    <w:altName w:val="Calibr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A6" w14:textId="50CAD356" w:rsidR="00FF7AB9" w:rsidRDefault="00952E5E">
    <w:pPr>
      <w:tabs>
        <w:tab w:val="center" w:pos="4252"/>
        <w:tab w:val="right" w:pos="8504"/>
      </w:tabs>
      <w:spacing w:line="240" w:lineRule="auto"/>
      <w:jc w:val="right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 xml:space="preserve">Página </w:t>
    </w:r>
    <w:r>
      <w:rPr>
        <w:rFonts w:ascii="Calibri" w:eastAsia="Calibri" w:hAnsi="Calibri" w:cs="Calibri"/>
        <w:color w:val="000000"/>
      </w:rPr>
      <w:fldChar w:fldCharType="begin"/>
    </w:r>
    <w:r>
      <w:rPr>
        <w:rFonts w:ascii="Calibri" w:eastAsia="Calibri" w:hAnsi="Calibri" w:cs="Calibri"/>
        <w:color w:val="000000"/>
      </w:rPr>
      <w:instrText>PAGE</w:instrText>
    </w:r>
    <w:r>
      <w:rPr>
        <w:rFonts w:ascii="Calibri" w:eastAsia="Calibri" w:hAnsi="Calibri" w:cs="Calibri"/>
        <w:color w:val="000000"/>
      </w:rPr>
      <w:fldChar w:fldCharType="separate"/>
    </w:r>
    <w:r w:rsidR="00F26318">
      <w:rPr>
        <w:rFonts w:ascii="Calibri" w:eastAsia="Calibri" w:hAnsi="Calibri" w:cs="Calibri"/>
        <w:noProof/>
        <w:color w:val="000000"/>
      </w:rPr>
      <w:t>1</w:t>
    </w:r>
    <w:r>
      <w:rPr>
        <w:rFonts w:ascii="Calibri" w:eastAsia="Calibri" w:hAnsi="Calibri" w:cs="Calibri"/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A8AF24" w14:textId="77777777" w:rsidR="00952E5E" w:rsidRDefault="00952E5E">
      <w:pPr>
        <w:spacing w:after="0" w:line="240" w:lineRule="auto"/>
      </w:pPr>
      <w:r>
        <w:separator/>
      </w:r>
    </w:p>
  </w:footnote>
  <w:footnote w:type="continuationSeparator" w:id="0">
    <w:p w14:paraId="7BFA0568" w14:textId="77777777" w:rsidR="00952E5E" w:rsidRDefault="00952E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A5" w14:textId="77777777" w:rsidR="00FF7AB9" w:rsidRDefault="00952E5E"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000A8B45" wp14:editId="2F8D7EFB">
              <wp:simplePos x="0" y="0"/>
              <wp:positionH relativeFrom="column">
                <wp:posOffset>-609599</wp:posOffset>
              </wp:positionH>
              <wp:positionV relativeFrom="paragraph">
                <wp:posOffset>139700</wp:posOffset>
              </wp:positionV>
              <wp:extent cx="7781284" cy="947414"/>
              <wp:effectExtent l="0" t="0" r="0" b="0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81284" cy="947414"/>
                        <a:chOff x="1455350" y="3306275"/>
                        <a:chExt cx="7781300" cy="947450"/>
                      </a:xfrm>
                    </wpg:grpSpPr>
                    <wpg:grpSp>
                      <wpg:cNvPr id="1971168206" name="Grupo 1971168206"/>
                      <wpg:cNvGrpSpPr/>
                      <wpg:grpSpPr>
                        <a:xfrm>
                          <a:off x="1455358" y="3306293"/>
                          <a:ext cx="7781284" cy="947414"/>
                          <a:chOff x="1455350" y="3306275"/>
                          <a:chExt cx="7781300" cy="947450"/>
                        </a:xfrm>
                      </wpg:grpSpPr>
                      <wps:wsp>
                        <wps:cNvPr id="1590031718" name="Rectángulo 1590031718"/>
                        <wps:cNvSpPr/>
                        <wps:spPr>
                          <a:xfrm>
                            <a:off x="1455350" y="3306275"/>
                            <a:ext cx="7781300" cy="94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39D5E4F" w14:textId="77777777" w:rsidR="00FF7AB9" w:rsidRDefault="00FF7AB9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634431583" name="Grupo 634431583"/>
                        <wpg:cNvGrpSpPr/>
                        <wpg:grpSpPr>
                          <a:xfrm>
                            <a:off x="1455355" y="3306290"/>
                            <a:ext cx="7781290" cy="947420"/>
                            <a:chOff x="1455350" y="3306275"/>
                            <a:chExt cx="7781300" cy="947450"/>
                          </a:xfrm>
                        </wpg:grpSpPr>
                        <wps:wsp>
                          <wps:cNvPr id="833071128" name="Rectángulo 833071128"/>
                          <wps:cNvSpPr/>
                          <wps:spPr>
                            <a:xfrm>
                              <a:off x="1455350" y="3306275"/>
                              <a:ext cx="7781300" cy="9474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F63C2E4" w14:textId="77777777" w:rsidR="00FF7AB9" w:rsidRDefault="00FF7AB9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118574432" name="Grupo 1118574432"/>
                          <wpg:cNvGrpSpPr/>
                          <wpg:grpSpPr>
                            <a:xfrm>
                              <a:off x="1455355" y="3306290"/>
                              <a:ext cx="7781290" cy="947420"/>
                              <a:chOff x="0" y="0"/>
                              <a:chExt cx="7781290" cy="947420"/>
                            </a:xfrm>
                          </wpg:grpSpPr>
                          <wps:wsp>
                            <wps:cNvPr id="708936092" name="Rectángulo 708936092"/>
                            <wps:cNvSpPr/>
                            <wps:spPr>
                              <a:xfrm>
                                <a:off x="0" y="0"/>
                                <a:ext cx="7781275" cy="947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6D4FB62" w14:textId="77777777" w:rsidR="00FF7AB9" w:rsidRDefault="00FF7AB9">
                                  <w:pPr>
                                    <w:spacing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" name="Shape 8"/>
                              <pic:cNvPicPr preferRelativeResize="0"/>
                            </pic:nvPicPr>
                            <pic:blipFill rotWithShape="1">
                              <a:blip r:embed="rId1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0" y="0"/>
                                <a:ext cx="7781290" cy="9474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9" name="Shape 9"/>
                              <pic:cNvPicPr preferRelativeResize="0"/>
                            </pic:nvPicPr>
                            <pic:blipFill rotWithShape="1">
                              <a:blip r:embed="rId1">
                                <a:alphaModFix/>
                              </a:blip>
                              <a:srcRect l="46651" r="30568" b="43700"/>
                              <a:stretch/>
                            </pic:blipFill>
                            <pic:spPr>
                              <a:xfrm>
                                <a:off x="241300" y="133350"/>
                                <a:ext cx="1771650" cy="533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-609599</wp:posOffset>
              </wp:positionH>
              <wp:positionV relativeFrom="paragraph">
                <wp:posOffset>139700</wp:posOffset>
              </wp:positionV>
              <wp:extent cx="7781284" cy="947414"/>
              <wp:effectExtent b="0" l="0" r="0" t="0"/>
              <wp:wrapNone/>
              <wp:docPr id="3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781284" cy="94741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21084"/>
    <w:multiLevelType w:val="multilevel"/>
    <w:tmpl w:val="989CFD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D616395"/>
    <w:multiLevelType w:val="multilevel"/>
    <w:tmpl w:val="1E10C0E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DC737D2"/>
    <w:multiLevelType w:val="multilevel"/>
    <w:tmpl w:val="546AEE9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27C497B"/>
    <w:multiLevelType w:val="multilevel"/>
    <w:tmpl w:val="4CAE11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BE60255"/>
    <w:multiLevelType w:val="multilevel"/>
    <w:tmpl w:val="363E6FF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5D50BB"/>
    <w:multiLevelType w:val="multilevel"/>
    <w:tmpl w:val="AECC57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F8686F"/>
    <w:multiLevelType w:val="multilevel"/>
    <w:tmpl w:val="7C4012CA"/>
    <w:lvl w:ilvl="0">
      <w:start w:val="1"/>
      <w:numFmt w:val="bullet"/>
      <w:lvlText w:val="●"/>
      <w:lvlJc w:val="left"/>
      <w:pPr>
        <w:ind w:left="72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3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36841459"/>
    <w:multiLevelType w:val="multilevel"/>
    <w:tmpl w:val="890C0EA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CF25326"/>
    <w:multiLevelType w:val="multilevel"/>
    <w:tmpl w:val="5AA872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2352BC6"/>
    <w:multiLevelType w:val="multilevel"/>
    <w:tmpl w:val="1E9A56EA"/>
    <w:lvl w:ilvl="0">
      <w:start w:val="1"/>
      <w:numFmt w:val="bullet"/>
      <w:lvlText w:val="●"/>
      <w:lvlJc w:val="left"/>
      <w:pPr>
        <w:ind w:left="72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3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56F248D2"/>
    <w:multiLevelType w:val="multilevel"/>
    <w:tmpl w:val="D16E0E1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574D7EC3"/>
    <w:multiLevelType w:val="multilevel"/>
    <w:tmpl w:val="8CDECB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5D9A3A51"/>
    <w:multiLevelType w:val="multilevel"/>
    <w:tmpl w:val="E730B8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674E66A5"/>
    <w:multiLevelType w:val="multilevel"/>
    <w:tmpl w:val="2C68ED4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6ECF5980"/>
    <w:multiLevelType w:val="multilevel"/>
    <w:tmpl w:val="A552AC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715224D8"/>
    <w:multiLevelType w:val="multilevel"/>
    <w:tmpl w:val="39D8778C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423" w:hanging="420"/>
      </w:pPr>
    </w:lvl>
    <w:lvl w:ilvl="2">
      <w:start w:val="1"/>
      <w:numFmt w:val="decimal"/>
      <w:lvlText w:val="%1.%2.%3."/>
      <w:lvlJc w:val="left"/>
      <w:pPr>
        <w:ind w:left="726" w:hanging="720"/>
      </w:pPr>
    </w:lvl>
    <w:lvl w:ilvl="3">
      <w:start w:val="1"/>
      <w:numFmt w:val="decimal"/>
      <w:lvlText w:val="%1.%2.%3.%4."/>
      <w:lvlJc w:val="left"/>
      <w:pPr>
        <w:ind w:left="729" w:hanging="720"/>
      </w:pPr>
    </w:lvl>
    <w:lvl w:ilvl="4">
      <w:start w:val="1"/>
      <w:numFmt w:val="decimal"/>
      <w:lvlText w:val="%1.%2.%3.%4.%5."/>
      <w:lvlJc w:val="left"/>
      <w:pPr>
        <w:ind w:left="1092" w:hanging="1080"/>
      </w:pPr>
    </w:lvl>
    <w:lvl w:ilvl="5">
      <w:start w:val="1"/>
      <w:numFmt w:val="decimal"/>
      <w:lvlText w:val="%1.%2.%3.%4.%5.%6."/>
      <w:lvlJc w:val="left"/>
      <w:pPr>
        <w:ind w:left="1095" w:hanging="1080"/>
      </w:pPr>
    </w:lvl>
    <w:lvl w:ilvl="6">
      <w:start w:val="1"/>
      <w:numFmt w:val="decimal"/>
      <w:lvlText w:val="%1.%2.%3.%4.%5.%6.%7."/>
      <w:lvlJc w:val="left"/>
      <w:pPr>
        <w:ind w:left="1458" w:hanging="1440"/>
      </w:pPr>
    </w:lvl>
    <w:lvl w:ilvl="7">
      <w:start w:val="1"/>
      <w:numFmt w:val="decimal"/>
      <w:lvlText w:val="%1.%2.%3.%4.%5.%6.%7.%8."/>
      <w:lvlJc w:val="left"/>
      <w:pPr>
        <w:ind w:left="1461" w:hanging="1440"/>
      </w:pPr>
    </w:lvl>
    <w:lvl w:ilvl="8">
      <w:start w:val="1"/>
      <w:numFmt w:val="decimal"/>
      <w:lvlText w:val="%1.%2.%3.%4.%5.%6.%7.%8.%9."/>
      <w:lvlJc w:val="left"/>
      <w:pPr>
        <w:ind w:left="1824" w:hanging="1800"/>
      </w:pPr>
    </w:lvl>
  </w:abstractNum>
  <w:abstractNum w:abstractNumId="16" w15:restartNumberingAfterBreak="0">
    <w:nsid w:val="77EC78CA"/>
    <w:multiLevelType w:val="multilevel"/>
    <w:tmpl w:val="41000A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7A5B4F2B"/>
    <w:multiLevelType w:val="multilevel"/>
    <w:tmpl w:val="C29429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501046401">
    <w:abstractNumId w:val="7"/>
  </w:num>
  <w:num w:numId="2" w16cid:durableId="40524052">
    <w:abstractNumId w:val="11"/>
  </w:num>
  <w:num w:numId="3" w16cid:durableId="721946642">
    <w:abstractNumId w:val="12"/>
  </w:num>
  <w:num w:numId="4" w16cid:durableId="219948534">
    <w:abstractNumId w:val="10"/>
  </w:num>
  <w:num w:numId="5" w16cid:durableId="1608854697">
    <w:abstractNumId w:val="1"/>
  </w:num>
  <w:num w:numId="6" w16cid:durableId="1376078925">
    <w:abstractNumId w:val="0"/>
  </w:num>
  <w:num w:numId="7" w16cid:durableId="258100559">
    <w:abstractNumId w:val="8"/>
  </w:num>
  <w:num w:numId="8" w16cid:durableId="685331230">
    <w:abstractNumId w:val="5"/>
  </w:num>
  <w:num w:numId="9" w16cid:durableId="1629513097">
    <w:abstractNumId w:val="6"/>
  </w:num>
  <w:num w:numId="10" w16cid:durableId="613290083">
    <w:abstractNumId w:val="15"/>
  </w:num>
  <w:num w:numId="11" w16cid:durableId="1810786539">
    <w:abstractNumId w:val="9"/>
  </w:num>
  <w:num w:numId="12" w16cid:durableId="1497375830">
    <w:abstractNumId w:val="13"/>
  </w:num>
  <w:num w:numId="13" w16cid:durableId="450514441">
    <w:abstractNumId w:val="4"/>
  </w:num>
  <w:num w:numId="14" w16cid:durableId="1458523828">
    <w:abstractNumId w:val="17"/>
  </w:num>
  <w:num w:numId="15" w16cid:durableId="1405301851">
    <w:abstractNumId w:val="16"/>
  </w:num>
  <w:num w:numId="16" w16cid:durableId="1328050309">
    <w:abstractNumId w:val="2"/>
  </w:num>
  <w:num w:numId="17" w16cid:durableId="659310668">
    <w:abstractNumId w:val="3"/>
  </w:num>
  <w:num w:numId="18" w16cid:durableId="2122871000">
    <w:abstractNumId w:val="1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Leticia Hernandez">
    <w15:presenceInfo w15:providerId="AD" w15:userId="S::leticia.hernandez@agesic.gub.uy::299a2ddc-9942-45e3-b302-86ca0d64660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7AB9"/>
    <w:rsid w:val="00952E5E"/>
    <w:rsid w:val="00E73E6D"/>
    <w:rsid w:val="00F26318"/>
    <w:rsid w:val="00FF7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U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A05E00B-BC53-4020-8271-E5C618E3DB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mbria" w:eastAsia="Cambria" w:hAnsi="Cambria" w:cs="Cambria"/>
        <w:sz w:val="24"/>
        <w:szCs w:val="24"/>
        <w:lang w:val="es" w:eastAsia="es-UY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4E69"/>
  </w:style>
  <w:style w:type="paragraph" w:styleId="Ttulo1">
    <w:name w:val="heading 1"/>
    <w:basedOn w:val="Normal"/>
    <w:next w:val="Normal"/>
    <w:link w:val="Ttulo1Car"/>
    <w:uiPriority w:val="9"/>
    <w:qFormat/>
    <w:rsid w:val="003F2FB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3F2FB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3F2FBD"/>
    <w:pPr>
      <w:keepNext/>
      <w:keepLines/>
      <w:spacing w:before="160" w:after="80"/>
      <w:outlineLvl w:val="2"/>
    </w:pPr>
    <w:rPr>
      <w:rFonts w:eastAsiaTheme="majorEastAsia" w:cstheme="majorBidi"/>
      <w:color w:val="365F9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3F2FB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3F2FBD"/>
    <w:pPr>
      <w:keepNext/>
      <w:keepLines/>
      <w:spacing w:before="80" w:after="40"/>
      <w:outlineLvl w:val="4"/>
    </w:pPr>
    <w:rPr>
      <w:rFonts w:eastAsiaTheme="majorEastAsia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3F2FB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3F2FB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3F2FB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3F2FB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3F2FB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ing1Char">
    <w:name w:val="Heading 1 Char"/>
    <w:basedOn w:val="Fuentedeprrafopredeter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Fuentedeprrafopredeter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Fuentedeprrafopredeter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Fuentedeprrafopredeter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Fuentedeprrafopredeter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Fuentedeprrafopredeter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Fuentedeprrafopredeter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Fuentedeprrafopredeter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Fuentedeprrafopredeter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Fuentedeprrafopredeter"/>
    <w:uiPriority w:val="10"/>
    <w:rPr>
      <w:sz w:val="48"/>
      <w:szCs w:val="48"/>
    </w:rPr>
  </w:style>
  <w:style w:type="character" w:customStyle="1" w:styleId="SubtitleChar">
    <w:name w:val="Subtitle Char"/>
    <w:basedOn w:val="Fuentedeprrafopredeter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Ttulo1Car">
    <w:name w:val="Título 1 Car"/>
    <w:basedOn w:val="Fuentedeprrafopredeter"/>
    <w:link w:val="Ttulo1"/>
    <w:uiPriority w:val="9"/>
    <w:rsid w:val="003F2FBD"/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3F2FB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3F2FBD"/>
    <w:rPr>
      <w:rFonts w:eastAsiaTheme="majorEastAsia" w:cstheme="majorBidi"/>
      <w:color w:val="365F9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3F2FBD"/>
    <w:rPr>
      <w:rFonts w:eastAsiaTheme="majorEastAsia" w:cstheme="majorBidi"/>
      <w:i/>
      <w:iCs/>
      <w:color w:val="365F9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3F2FBD"/>
    <w:rPr>
      <w:rFonts w:eastAsiaTheme="majorEastAsia" w:cstheme="majorBidi"/>
      <w:color w:val="365F9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3F2FB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3F2FB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3F2FB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3F2FBD"/>
    <w:rPr>
      <w:rFonts w:eastAsiaTheme="majorEastAsia" w:cstheme="majorBidi"/>
      <w:color w:val="272727" w:themeColor="text1" w:themeTint="D8"/>
    </w:rPr>
  </w:style>
  <w:style w:type="paragraph" w:styleId="Sinespaciado">
    <w:name w:val="No Spacing"/>
    <w:uiPriority w:val="1"/>
    <w:qFormat/>
    <w:rsid w:val="003F2FBD"/>
    <w:pPr>
      <w:spacing w:after="0" w:line="240" w:lineRule="auto"/>
    </w:pPr>
  </w:style>
  <w:style w:type="character" w:customStyle="1" w:styleId="TtuloCar">
    <w:name w:val="Título Car"/>
    <w:basedOn w:val="Fuentedeprrafopredeter"/>
    <w:link w:val="Ttulo"/>
    <w:uiPriority w:val="10"/>
    <w:rsid w:val="003F2FB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3F2FB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3F2FB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3F2FBD"/>
    <w:rPr>
      <w:i/>
      <w:iCs/>
      <w:color w:val="404040" w:themeColor="text1" w:themeTint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3F2FBD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3F2FBD"/>
    <w:rPr>
      <w:i/>
      <w:iCs/>
      <w:color w:val="365F91" w:themeColor="accent1" w:themeShade="BF"/>
    </w:rPr>
  </w:style>
  <w:style w:type="character" w:customStyle="1" w:styleId="HeaderChar">
    <w:name w:val="Header Char"/>
    <w:basedOn w:val="Fuentedeprrafopredeter"/>
    <w:uiPriority w:val="99"/>
  </w:style>
  <w:style w:type="character" w:customStyle="1" w:styleId="FooterChar">
    <w:name w:val="Footer Char"/>
    <w:basedOn w:val="Fuentedeprrafopredeter"/>
    <w:uiPriority w:val="99"/>
  </w:style>
  <w:style w:type="table" w:customStyle="1" w:styleId="Lined">
    <w:name w:val="Lined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/>
      </w:tcPr>
    </w:tblStylePr>
  </w:style>
  <w:style w:type="table" w:customStyle="1" w:styleId="Lined-Accent1">
    <w:name w:val="Lined - Accent 1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6D9F1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6D9F1"/>
      </w:tcPr>
    </w:tblStylePr>
  </w:style>
  <w:style w:type="table" w:customStyle="1" w:styleId="Lined-Accent2">
    <w:name w:val="Lined - Accent 2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BDB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BDB"/>
      </w:tcPr>
    </w:tblStylePr>
  </w:style>
  <w:style w:type="table" w:customStyle="1" w:styleId="Lined-Accent3">
    <w:name w:val="Lined - Accent 3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BB559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BB559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BB559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BB559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D"/>
      </w:tcPr>
    </w:tblStylePr>
  </w:style>
  <w:style w:type="table" w:customStyle="1" w:styleId="Lined-Accent4">
    <w:name w:val="Lined - Accent 4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/>
      </w:tcPr>
    </w:tblStylePr>
  </w:style>
  <w:style w:type="table" w:customStyle="1" w:styleId="Lined-Accent5">
    <w:name w:val="Lined - Accent 5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/>
      </w:tcPr>
    </w:tblStylePr>
  </w:style>
  <w:style w:type="table" w:customStyle="1" w:styleId="Lined-Accent6">
    <w:name w:val="Lined - Accent 6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9"/>
      </w:tcPr>
    </w:tblStylePr>
  </w:style>
  <w:style w:type="table" w:customStyle="1" w:styleId="Bordered">
    <w:name w:val="Bordered"/>
    <w:basedOn w:val="Tablanormal"/>
    <w:uiPriority w:val="99"/>
    <w:pPr>
      <w:spacing w:line="240" w:lineRule="auto"/>
    </w:pPr>
    <w:tblPr>
      <w:tblStyleRowBandSize w:val="1"/>
      <w:tblStyleColBandSize w:val="1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7F7F7F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</w:tcBorders>
      </w:tcPr>
    </w:tblStylePr>
  </w:style>
  <w:style w:type="table" w:customStyle="1" w:styleId="Bordered-Accent1">
    <w:name w:val="Bordered - Accent 1"/>
    <w:basedOn w:val="Tablanormal"/>
    <w:uiPriority w:val="99"/>
    <w:pPr>
      <w:spacing w:line="240" w:lineRule="auto"/>
    </w:pPr>
    <w:tblPr>
      <w:tblStyleRowBandSize w:val="1"/>
      <w:tblStyleColBandSize w:val="1"/>
      <w:tblBorders>
        <w:top w:val="single" w:sz="4" w:space="0" w:color="B8CCE4"/>
        <w:left w:val="single" w:sz="4" w:space="0" w:color="B8CCE4"/>
        <w:bottom w:val="single" w:sz="4" w:space="0" w:color="B8CCE4"/>
        <w:right w:val="single" w:sz="4" w:space="0" w:color="B8CCE4"/>
        <w:insideH w:val="single" w:sz="4" w:space="0" w:color="B8CCE4"/>
        <w:insideV w:val="single" w:sz="4" w:space="0" w:color="B8CCE4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4F81BD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8CCE4"/>
          <w:left w:val="single" w:sz="4" w:space="0" w:color="B8CCE4"/>
          <w:bottom w:val="single" w:sz="4" w:space="0" w:color="B8CCE4"/>
          <w:right w:val="single" w:sz="4" w:space="0" w:color="B8CCE4"/>
        </w:tcBorders>
      </w:tcPr>
    </w:tblStylePr>
  </w:style>
  <w:style w:type="table" w:customStyle="1" w:styleId="Bordered-Accent2">
    <w:name w:val="Bordered - Accent 2"/>
    <w:basedOn w:val="Tablanormal"/>
    <w:uiPriority w:val="99"/>
    <w:pPr>
      <w:spacing w:line="240" w:lineRule="auto"/>
    </w:pPr>
    <w:tblPr>
      <w:tblStyleRowBandSize w:val="1"/>
      <w:tblStyleColBandSize w:val="1"/>
      <w:tblBorders>
        <w:top w:val="single" w:sz="4" w:space="0" w:color="E5B8B7"/>
        <w:left w:val="single" w:sz="4" w:space="0" w:color="E5B8B7"/>
        <w:bottom w:val="single" w:sz="4" w:space="0" w:color="E5B8B7"/>
        <w:right w:val="single" w:sz="4" w:space="0" w:color="E5B8B7"/>
        <w:insideH w:val="single" w:sz="4" w:space="0" w:color="E5B8B7"/>
        <w:insideV w:val="single" w:sz="4" w:space="0" w:color="E5B8B7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594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594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D99594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594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8B7"/>
          <w:left w:val="single" w:sz="4" w:space="0" w:color="E5B8B7"/>
          <w:bottom w:val="single" w:sz="4" w:space="0" w:color="E5B8B7"/>
          <w:right w:val="single" w:sz="4" w:space="0" w:color="E5B8B7"/>
        </w:tcBorders>
      </w:tcPr>
    </w:tblStylePr>
  </w:style>
  <w:style w:type="table" w:customStyle="1" w:styleId="Bordered-Accent3">
    <w:name w:val="Bordered - Accent 3"/>
    <w:basedOn w:val="Tablanormal"/>
    <w:uiPriority w:val="99"/>
    <w:pPr>
      <w:spacing w:line="240" w:lineRule="auto"/>
    </w:pPr>
    <w:tblPr>
      <w:tblStyleRowBandSize w:val="1"/>
      <w:tblStyleColBandSize w:val="1"/>
      <w:tblBorders>
        <w:top w:val="single" w:sz="4" w:space="0" w:color="D6E3BC"/>
        <w:left w:val="single" w:sz="4" w:space="0" w:color="D6E3BC"/>
        <w:bottom w:val="single" w:sz="4" w:space="0" w:color="D6E3BC"/>
        <w:right w:val="single" w:sz="4" w:space="0" w:color="D6E3BC"/>
        <w:insideH w:val="single" w:sz="4" w:space="0" w:color="D6E3BC"/>
        <w:insideV w:val="single" w:sz="4" w:space="0" w:color="D6E3BC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2D69B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2D69B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C2D69B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2D69B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C"/>
          <w:left w:val="single" w:sz="4" w:space="0" w:color="D6E3BC"/>
          <w:bottom w:val="single" w:sz="4" w:space="0" w:color="D6E3BC"/>
          <w:right w:val="single" w:sz="4" w:space="0" w:color="D6E3BC"/>
        </w:tcBorders>
      </w:tcPr>
    </w:tblStylePr>
  </w:style>
  <w:style w:type="table" w:customStyle="1" w:styleId="Bordered-Accent4">
    <w:name w:val="Bordered - Accent 4"/>
    <w:basedOn w:val="Tablanormal"/>
    <w:uiPriority w:val="99"/>
    <w:pPr>
      <w:spacing w:line="240" w:lineRule="auto"/>
    </w:pPr>
    <w:tblPr>
      <w:tblStyleRowBandSize w:val="1"/>
      <w:tblStyleColBandSize w:val="1"/>
      <w:tblBorders>
        <w:top w:val="single" w:sz="4" w:space="0" w:color="CCC0D9"/>
        <w:left w:val="single" w:sz="4" w:space="0" w:color="CCC0D9"/>
        <w:bottom w:val="single" w:sz="4" w:space="0" w:color="CCC0D9"/>
        <w:right w:val="single" w:sz="4" w:space="0" w:color="CCC0D9"/>
        <w:insideH w:val="single" w:sz="4" w:space="0" w:color="CCC0D9"/>
        <w:insideV w:val="single" w:sz="4" w:space="0" w:color="CCC0D9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7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B2A1C7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CC0D9"/>
          <w:left w:val="single" w:sz="4" w:space="0" w:color="CCC0D9"/>
          <w:bottom w:val="single" w:sz="4" w:space="0" w:color="CCC0D9"/>
          <w:right w:val="single" w:sz="4" w:space="0" w:color="CCC0D9"/>
        </w:tcBorders>
      </w:tcPr>
    </w:tblStylePr>
  </w:style>
  <w:style w:type="table" w:customStyle="1" w:styleId="Bordered-Accent5">
    <w:name w:val="Bordered - Accent 5"/>
    <w:basedOn w:val="Tablanormal"/>
    <w:uiPriority w:val="99"/>
    <w:pPr>
      <w:spacing w:line="240" w:lineRule="auto"/>
    </w:p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DDC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DDC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92CDDC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DDC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/>
          <w:left w:val="single" w:sz="4" w:space="0" w:color="B6DDE8"/>
          <w:bottom w:val="single" w:sz="4" w:space="0" w:color="B6DDE8"/>
          <w:right w:val="single" w:sz="4" w:space="0" w:color="B6DDE8"/>
        </w:tcBorders>
      </w:tcPr>
    </w:tblStylePr>
  </w:style>
  <w:style w:type="table" w:customStyle="1" w:styleId="Bordered-Accent6">
    <w:name w:val="Bordered - Accent 6"/>
    <w:basedOn w:val="Tablanormal"/>
    <w:uiPriority w:val="99"/>
    <w:pPr>
      <w:spacing w:line="240" w:lineRule="auto"/>
    </w:p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BF8F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BF8F"/>
        </w:tcBorders>
      </w:tcPr>
    </w:tblStylePr>
    <w:tblStylePr w:type="firstCol">
      <w:rPr>
        <w:rFonts w:ascii="Arial" w:hAnsi="Arial"/>
        <w:color w:val="404040"/>
        <w:sz w:val="22"/>
      </w:rPr>
      <w:tblPr/>
      <w:tcPr>
        <w:tcBorders>
          <w:right w:val="single" w:sz="12" w:space="0" w:color="FABF8F"/>
        </w:tcBorders>
      </w:tc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BF8F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/>
          <w:left w:val="single" w:sz="4" w:space="0" w:color="FBD4B4"/>
          <w:bottom w:val="single" w:sz="4" w:space="0" w:color="FBD4B4"/>
          <w:right w:val="single" w:sz="4" w:space="0" w:color="FBD4B4"/>
        </w:tcBorders>
      </w:tcPr>
    </w:tblStylePr>
  </w:style>
  <w:style w:type="table" w:customStyle="1" w:styleId="BorderedLined">
    <w:name w:val="Bordered &amp; Lined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9D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/>
      </w:tcPr>
    </w:tblStylePr>
  </w:style>
  <w:style w:type="table" w:customStyle="1" w:styleId="BorderedLined-Accent1">
    <w:name w:val="Bordered &amp; Lined - Accent 1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Borders>
        <w:top w:val="single" w:sz="4" w:space="0" w:color="1F497D"/>
        <w:left w:val="single" w:sz="4" w:space="0" w:color="1F497D"/>
        <w:bottom w:val="single" w:sz="4" w:space="0" w:color="1F497D"/>
        <w:right w:val="single" w:sz="4" w:space="0" w:color="1F497D"/>
        <w:insideH w:val="single" w:sz="4" w:space="0" w:color="1F497D"/>
        <w:insideV w:val="single" w:sz="4" w:space="0" w:color="1F497D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48DD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6D9F1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6D9F1"/>
      </w:tcPr>
    </w:tblStylePr>
  </w:style>
  <w:style w:type="table" w:customStyle="1" w:styleId="BorderedLined-Accent2">
    <w:name w:val="Bordered &amp; Lined - Accent 2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C0504D"/>
        <w:insideV w:val="single" w:sz="4" w:space="0" w:color="C0504D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D99594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DBDB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DBDB"/>
      </w:tcPr>
    </w:tblStylePr>
  </w:style>
  <w:style w:type="table" w:customStyle="1" w:styleId="BorderedLined-Accent3">
    <w:name w:val="Bordered &amp; Lined - Accent 3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Borders>
        <w:top w:val="single" w:sz="4" w:space="0" w:color="76923C"/>
        <w:left w:val="single" w:sz="4" w:space="0" w:color="76923C"/>
        <w:bottom w:val="single" w:sz="4" w:space="0" w:color="76923C"/>
        <w:right w:val="single" w:sz="4" w:space="0" w:color="76923C"/>
        <w:insideH w:val="single" w:sz="4" w:space="0" w:color="76923C"/>
        <w:insideV w:val="single" w:sz="4" w:space="0" w:color="76923C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9BBB59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9BBB59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9BBB59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9BBB59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AF1D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AF1DD"/>
      </w:tcPr>
    </w:tblStylePr>
  </w:style>
  <w:style w:type="table" w:customStyle="1" w:styleId="BorderedLined-Accent4">
    <w:name w:val="Bordered &amp; Lined - Accent 4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Borders>
        <w:top w:val="single" w:sz="4" w:space="0" w:color="8064A2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8064A2"/>
        <w:insideV w:val="single" w:sz="4" w:space="0" w:color="8064A2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2A1C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5DFEC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5DFEC"/>
      </w:tcPr>
    </w:tblStylePr>
  </w:style>
  <w:style w:type="table" w:customStyle="1" w:styleId="BorderedLined-Accent5">
    <w:name w:val="Bordered &amp; Lined - Accent 5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Borders>
        <w:top w:val="single" w:sz="4" w:space="0" w:color="31849B"/>
        <w:left w:val="single" w:sz="4" w:space="0" w:color="31849B"/>
        <w:bottom w:val="single" w:sz="4" w:space="0" w:color="31849B"/>
        <w:right w:val="single" w:sz="4" w:space="0" w:color="31849B"/>
        <w:insideH w:val="single" w:sz="4" w:space="0" w:color="31849B"/>
        <w:insideV w:val="single" w:sz="4" w:space="0" w:color="31849B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4BACC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AEEF3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AEEF3"/>
      </w:tcPr>
    </w:tblStylePr>
  </w:style>
  <w:style w:type="table" w:customStyle="1" w:styleId="BorderedLined-Accent6">
    <w:name w:val="Bordered &amp; Lined - Accent 6"/>
    <w:basedOn w:val="Tablanormal"/>
    <w:uiPriority w:val="99"/>
    <w:pPr>
      <w:spacing w:line="240" w:lineRule="auto"/>
    </w:pPr>
    <w:rPr>
      <w:color w:val="404040"/>
      <w:sz w:val="20"/>
      <w:szCs w:val="20"/>
      <w:lang w:eastAsia="es-CO"/>
    </w:rPr>
    <w:tblPr>
      <w:tblStyleRowBandSize w:val="1"/>
      <w:tblStyleColBandSize w:val="1"/>
      <w:tblBorders>
        <w:top w:val="single" w:sz="4" w:space="0" w:color="E36C0A"/>
        <w:left w:val="single" w:sz="4" w:space="0" w:color="E36C0A"/>
        <w:bottom w:val="single" w:sz="4" w:space="0" w:color="E36C0A"/>
        <w:right w:val="single" w:sz="4" w:space="0" w:color="E36C0A"/>
        <w:insideH w:val="single" w:sz="4" w:space="0" w:color="E36C0A"/>
        <w:insideV w:val="single" w:sz="4" w:space="0" w:color="E36C0A"/>
      </w:tblBorders>
      <w:tblCellMar>
        <w:top w:w="96" w:type="dxa"/>
        <w:left w:w="170" w:type="dxa"/>
        <w:bottom w:w="96" w:type="dxa"/>
        <w:right w:w="17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7964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DE9D9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DE9D9"/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paragraph" w:styleId="TDC1">
    <w:name w:val="toc 1"/>
    <w:basedOn w:val="Normal"/>
    <w:next w:val="Normal"/>
    <w:uiPriority w:val="39"/>
    <w:unhideWhenUsed/>
    <w:pPr>
      <w:spacing w:after="57"/>
    </w:pPr>
  </w:style>
  <w:style w:type="paragraph" w:styleId="TDC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TDC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DC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DC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DC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DC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DC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DC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TtuloTDC">
    <w:name w:val="TOC Heading"/>
    <w:basedOn w:val="Ttulo1"/>
    <w:next w:val="Normal"/>
    <w:uiPriority w:val="39"/>
    <w:semiHidden/>
    <w:unhideWhenUsed/>
    <w:qFormat/>
    <w:rsid w:val="003F2FBD"/>
    <w:pPr>
      <w:spacing w:before="240" w:after="0"/>
      <w:outlineLvl w:val="9"/>
    </w:pPr>
    <w:rPr>
      <w:sz w:val="32"/>
      <w:szCs w:val="3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paragraph" w:styleId="Revisin">
    <w:name w:val="Revision"/>
    <w:hidden/>
    <w:uiPriority w:val="99"/>
    <w:semiHidden/>
    <w:pPr>
      <w:spacing w:line="240" w:lineRule="auto"/>
    </w:p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Pr>
      <w:b/>
      <w:bCs/>
      <w:sz w:val="20"/>
      <w:szCs w:val="20"/>
    </w:rPr>
  </w:style>
  <w:style w:type="paragraph" w:styleId="Prrafodelista">
    <w:name w:val="List Paragraph"/>
    <w:basedOn w:val="Normal"/>
    <w:uiPriority w:val="34"/>
    <w:qFormat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Pr>
      <w:rFonts w:ascii="Segoe UI" w:hAnsi="Segoe UI" w:cs="Segoe UI"/>
      <w:sz w:val="18"/>
      <w:szCs w:val="18"/>
    </w:rPr>
  </w:style>
  <w:style w:type="paragraph" w:customStyle="1" w:styleId="paragraph">
    <w:name w:val="paragraph"/>
    <w:basedOn w:val="Normal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val="es-UY"/>
    </w:rPr>
  </w:style>
  <w:style w:type="character" w:customStyle="1" w:styleId="normaltextrun">
    <w:name w:val="normaltextrun"/>
    <w:basedOn w:val="Fuentedeprrafopredeter"/>
  </w:style>
  <w:style w:type="character" w:customStyle="1" w:styleId="eop">
    <w:name w:val="eop"/>
    <w:basedOn w:val="Fuentedeprrafopredeter"/>
  </w:style>
  <w:style w:type="paragraph" w:styleId="Encabezado">
    <w:name w:val="header"/>
    <w:basedOn w:val="Normal"/>
    <w:link w:val="EncabezadoCar"/>
    <w:uiPriority w:val="99"/>
    <w:unhideWhenUsed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</w:style>
  <w:style w:type="paragraph" w:styleId="Piedepgina">
    <w:name w:val="footer"/>
    <w:basedOn w:val="Normal"/>
    <w:link w:val="PiedepginaCar"/>
    <w:uiPriority w:val="99"/>
    <w:unhideWhenUsed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</w:style>
  <w:style w:type="paragraph" w:styleId="Textonotapie">
    <w:name w:val="footnote text"/>
    <w:basedOn w:val="Normal"/>
    <w:link w:val="Textonotapie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Pr>
      <w:vertAlign w:val="superscript"/>
    </w:rPr>
  </w:style>
  <w:style w:type="character" w:styleId="Hipervnculo">
    <w:name w:val="Hyperlink"/>
    <w:basedOn w:val="Fuentedeprrafopredeter"/>
    <w:uiPriority w:val="99"/>
    <w:unhideWhenUsed/>
    <w:rPr>
      <w:color w:val="0000FF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Pr>
      <w:color w:val="605E5C"/>
      <w:shd w:val="clear" w:color="auto" w:fill="E1DFDD"/>
    </w:rPr>
  </w:style>
  <w:style w:type="table" w:styleId="Tablaconcuadrcula">
    <w:name w:val="Table Grid"/>
    <w:basedOn w:val="Tablanormal"/>
    <w:uiPriority w:val="39"/>
    <w:pPr>
      <w:spacing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StGen0">
    <w:name w:val="StGen0"/>
    <w:basedOn w:val="TableNormal2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SubttuloTtulo1">
    <w:name w:val="Subtítulo (Título 1)"/>
    <w:basedOn w:val="Ttulo1"/>
    <w:next w:val="Normal"/>
    <w:pPr>
      <w:spacing w:before="120" w:after="200" w:line="360" w:lineRule="auto"/>
      <w:ind w:left="709"/>
    </w:pPr>
    <w:rPr>
      <w:rFonts w:ascii="Microsoft Sans Serif" w:eastAsia="Times New Roman" w:hAnsi="Microsoft Sans Serif" w:cs="Times New Roman"/>
      <w:b/>
      <w:color w:val="182765"/>
      <w:sz w:val="28"/>
      <w:szCs w:val="32"/>
      <w:lang w:val="es-UY" w:eastAsia="en-US"/>
    </w:r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val="es-UY"/>
    </w:rPr>
  </w:style>
  <w:style w:type="paragraph" w:customStyle="1" w:styleId="pf0">
    <w:name w:val="pf0"/>
    <w:basedOn w:val="Normal"/>
    <w:rsid w:val="00D869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val="es-UY"/>
    </w:rPr>
  </w:style>
  <w:style w:type="character" w:customStyle="1" w:styleId="cf01">
    <w:name w:val="cf01"/>
    <w:basedOn w:val="Fuentedeprrafopredeter"/>
    <w:rsid w:val="00D8691C"/>
    <w:rPr>
      <w:rFonts w:ascii="Segoe UI" w:hAnsi="Segoe UI" w:cs="Segoe UI" w:hint="default"/>
      <w:sz w:val="18"/>
      <w:szCs w:val="18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3F2FBD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character" w:styleId="Textoennegrita">
    <w:name w:val="Strong"/>
    <w:basedOn w:val="Fuentedeprrafopredeter"/>
    <w:uiPriority w:val="22"/>
    <w:qFormat/>
    <w:rsid w:val="003F2FBD"/>
    <w:rPr>
      <w:b/>
      <w:bCs/>
    </w:rPr>
  </w:style>
  <w:style w:type="character" w:styleId="nfasis">
    <w:name w:val="Emphasis"/>
    <w:basedOn w:val="Fuentedeprrafopredeter"/>
    <w:uiPriority w:val="20"/>
    <w:qFormat/>
    <w:rsid w:val="003F2FBD"/>
    <w:rPr>
      <w:i/>
      <w:iCs/>
    </w:rPr>
  </w:style>
  <w:style w:type="character" w:styleId="nfasissutil">
    <w:name w:val="Subtle Emphasis"/>
    <w:basedOn w:val="Fuentedeprrafopredeter"/>
    <w:uiPriority w:val="19"/>
    <w:qFormat/>
    <w:rsid w:val="003F2FBD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3F2FBD"/>
    <w:rPr>
      <w:i/>
      <w:iCs/>
      <w:color w:val="365F91" w:themeColor="accent1" w:themeShade="BF"/>
    </w:rPr>
  </w:style>
  <w:style w:type="character" w:styleId="Referenciasutil">
    <w:name w:val="Subtle Reference"/>
    <w:basedOn w:val="Fuentedeprrafopredeter"/>
    <w:uiPriority w:val="31"/>
    <w:qFormat/>
    <w:rsid w:val="003F2FBD"/>
    <w:rPr>
      <w:smallCaps/>
      <w:color w:val="5A5A5A" w:themeColor="text1" w:themeTint="A5"/>
    </w:rPr>
  </w:style>
  <w:style w:type="character" w:styleId="Referenciaintensa">
    <w:name w:val="Intense Reference"/>
    <w:basedOn w:val="Fuentedeprrafopredeter"/>
    <w:uiPriority w:val="32"/>
    <w:qFormat/>
    <w:rsid w:val="003F2FBD"/>
    <w:rPr>
      <w:b/>
      <w:bCs/>
      <w:smallCaps/>
      <w:color w:val="365F91" w:themeColor="accent1" w:themeShade="BF"/>
      <w:spacing w:val="5"/>
    </w:rPr>
  </w:style>
  <w:style w:type="character" w:styleId="Ttulodellibro">
    <w:name w:val="Book Title"/>
    <w:basedOn w:val="Fuentedeprrafopredeter"/>
    <w:uiPriority w:val="33"/>
    <w:qFormat/>
    <w:rsid w:val="003F2FBD"/>
    <w:rPr>
      <w:b/>
      <w:bCs/>
      <w:i/>
      <w:iCs/>
      <w:spacing w:val="5"/>
    </w:rPr>
  </w:style>
  <w:style w:type="table" w:customStyle="1" w:styleId="a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Mencinsinresolver">
    <w:name w:val="Unresolved Mention"/>
    <w:basedOn w:val="Fuentedeprrafopredeter"/>
    <w:uiPriority w:val="99"/>
    <w:semiHidden/>
    <w:unhideWhenUsed/>
    <w:rsid w:val="00787F32"/>
    <w:rPr>
      <w:color w:val="605E5C"/>
      <w:shd w:val="clear" w:color="auto" w:fill="E1DFDD"/>
    </w:rPr>
  </w:style>
  <w:style w:type="table" w:customStyle="1" w:styleId="a2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hyperlink" Target="https://docs.google.com/document/d/1EBOE-bJcoJK1v-XevVCTkZQJ_c0j7kML/edit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docs.google.com/document/d/10w-6S3VsktPcM3PDlxJFM2srzn-XpeL1/edit" TargetMode="Externa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cs.google.com/document/d/1u1X_UEUzz8ahMSPn8Le1juzDmzu4J6_7/edit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Arial"/>
        <a:cs typeface="Arial"/>
      </a:majorFont>
      <a:minorFont>
        <a:latin typeface="Cambria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>
    <a:spDef>
      <a:spPr bwMode="auto"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 bwMode="auto"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eyp8l7lFEGPZ+Lx08DcY+G3rP6w==">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1515</Words>
  <Characters>8335</Characters>
  <Application>Microsoft Office Word</Application>
  <DocSecurity>0</DocSecurity>
  <Lines>69</Lines>
  <Paragraphs>19</Paragraphs>
  <ScaleCrop>false</ScaleCrop>
  <Company/>
  <LinksUpToDate>false</LinksUpToDate>
  <CharactersWithSpaces>9831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Leticia Hernandez</dc:creator>
  <cp:lastModifiedBy>Leticia Hernandez</cp:lastModifiedBy>
  <cp:revision>3</cp:revision>
  <dcterms:created xsi:type="dcterms:W3CDTF">2025-06-10T19:03:00Z</dcterms:created>
  <dcterms:modified xsi:type="dcterms:W3CDTF">2025-06-10T19:08:00Z</dcterms:modified>
</cp:coreProperties>
</file>