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2E8C6" w14:textId="300E18AE" w:rsidR="005F5CCF" w:rsidRPr="005F5CCF" w:rsidRDefault="005F5CCF" w:rsidP="005F5CCF">
      <w:pPr>
        <w:jc w:val="center"/>
        <w:rPr>
          <w:b/>
          <w:bCs/>
        </w:rPr>
      </w:pPr>
      <w:r w:rsidRPr="005F5CCF">
        <w:rPr>
          <w:b/>
          <w:bCs/>
        </w:rPr>
        <w:t>DECLARACIÓN DE MONTEVIDEO</w:t>
      </w:r>
    </w:p>
    <w:p w14:paraId="296A8BDB" w14:textId="77777777" w:rsidR="008F1946" w:rsidRDefault="008F1946" w:rsidP="005F5CCF">
      <w:pPr>
        <w:jc w:val="center"/>
      </w:pPr>
    </w:p>
    <w:p w14:paraId="2F58A54F" w14:textId="1F415BC6" w:rsidR="005F5CCF" w:rsidRDefault="005F5CCF" w:rsidP="005F5CCF">
      <w:pPr>
        <w:jc w:val="center"/>
      </w:pPr>
      <w:r>
        <w:t>“Para la construcción de un enfoque regional sobre la gobernanza de la Inteligencia Artificial y sus impactos en nuestra sociedad”</w:t>
      </w:r>
    </w:p>
    <w:p w14:paraId="1F989390" w14:textId="77777777" w:rsidR="008F1946" w:rsidRDefault="008F1946" w:rsidP="005F5CCF">
      <w:pPr>
        <w:jc w:val="center"/>
      </w:pPr>
    </w:p>
    <w:p w14:paraId="76CA9612" w14:textId="7991B0BB" w:rsidR="005F5CCF" w:rsidRDefault="005F5CCF" w:rsidP="005F5CCF">
      <w:pPr>
        <w:jc w:val="both"/>
      </w:pPr>
      <w:r>
        <w:t xml:space="preserve">En Montevideo, República Oriental del Uruguay, las </w:t>
      </w:r>
      <w:proofErr w:type="gramStart"/>
      <w:r>
        <w:t>Ministras</w:t>
      </w:r>
      <w:proofErr w:type="gramEnd"/>
      <w:r>
        <w:t>, Ministros y Altas Autoridades representantes</w:t>
      </w:r>
      <w:r w:rsidR="001C2E70">
        <w:t xml:space="preserve"> de los países r</w:t>
      </w:r>
      <w:r>
        <w:t xml:space="preserve">eunidos en la Segunda Cumbre Ministerial y de Altas Autoridades sobre la Ética de la Inteligencia Artificial en América Latina y el Caribe, los días 3 y 4 de octubre de 2024. </w:t>
      </w:r>
    </w:p>
    <w:p w14:paraId="54EC3097" w14:textId="77777777" w:rsidR="005F5CCF" w:rsidRDefault="005F5CCF" w:rsidP="005F5CCF">
      <w:pPr>
        <w:jc w:val="both"/>
      </w:pPr>
      <w:r w:rsidRPr="005F5CCF">
        <w:rPr>
          <w:b/>
          <w:bCs/>
        </w:rPr>
        <w:t>REAFIRMANDO</w:t>
      </w:r>
      <w:r>
        <w:t xml:space="preserve"> el compromiso de la región para el desarrollo y despliegue de una Inteligencia Artificial (IA) basada en la promoción, el respeto, y la protección de los derechos humanos, las libertades fundamentales, el estado de derecho y la democracia, centrada en el ser humano, en el bienestar y dignidad de las personas, fomentando la innovación y asegurando un progreso tecnológico inclusivo y sustentable.</w:t>
      </w:r>
    </w:p>
    <w:p w14:paraId="0410FB08" w14:textId="77777777" w:rsidR="005F5CCF" w:rsidRDefault="005F5CCF" w:rsidP="005F5CCF">
      <w:pPr>
        <w:jc w:val="both"/>
      </w:pPr>
      <w:r w:rsidRPr="005F5CCF">
        <w:rPr>
          <w:b/>
          <w:bCs/>
        </w:rPr>
        <w:t>RECONOCIENDO</w:t>
      </w:r>
      <w:r>
        <w:t xml:space="preserve"> el hito que constituyó la primera Cumbre Ministerial y de Altas Autoridades sobre la Ética de la Inteligencia Artificial en América Latina y el Caribe en Santiago de Chile, los días 23 y 24 de octubre de 2023 con el apoyo de la Organización de las Naciones Unidas para la Educación, la Ciencia y la Cultura (UNESCO) y de CAF -banco de desarrollo de América Latina y el Caribe-  y su declaración, que sentó las bases para un proceso de construcción de una IA ética con un especial enfoque regional.</w:t>
      </w:r>
    </w:p>
    <w:p w14:paraId="1A7B2425" w14:textId="77777777" w:rsidR="005F5CCF" w:rsidRDefault="005F5CCF" w:rsidP="005F5CCF">
      <w:pPr>
        <w:jc w:val="both"/>
      </w:pPr>
      <w:r w:rsidRPr="005F5CCF">
        <w:rPr>
          <w:b/>
          <w:bCs/>
        </w:rPr>
        <w:t>VALORANDO</w:t>
      </w:r>
      <w:r>
        <w:t xml:space="preserve"> las contribuciones derivadas de iniciativas lideradas por diferentes países de la región, organizaciones internacionales y por otros actores internacionales y locales que han contribuido al debate regional sobre la gobernanza de la IA, y </w:t>
      </w:r>
      <w:r w:rsidRPr="005F5CCF">
        <w:rPr>
          <w:b/>
          <w:bCs/>
        </w:rPr>
        <w:t>REAFIRMANDO</w:t>
      </w:r>
      <w:r>
        <w:t xml:space="preserve"> la importancia de la consolidación de instancias colectivas que incluyan a múltiples partes interesadas, fomentando la cooperación y el diálogo continuo entre ellas para garantizar la interoperabilidad de los diversos instrumentos, con miras a evitar la duplicación de esfuerzos.</w:t>
      </w:r>
    </w:p>
    <w:p w14:paraId="012668CD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potestad de cada país de establecer sus políticas en función de sus intereses, sus prioridades y circunstancias nacionales, y sus normativas internas y compromisos internacionales, sin desconocer la importancia de una gobernanza regional y global, en función de los impactos que tiene la IA en todos los ámbitos, incluyendo la ética, la seguridad y la equidad; promoviendo la cooperación internacional para maximizar los beneficios y mitigar los riesgos asociados con el desarrollo y uso de la IA, particularmente en el disfrute de derechos humanos.</w:t>
      </w:r>
    </w:p>
    <w:p w14:paraId="398F2D48" w14:textId="77777777" w:rsidR="005F5CCF" w:rsidRDefault="005F5CCF" w:rsidP="005F5CCF">
      <w:pPr>
        <w:jc w:val="both"/>
      </w:pPr>
      <w:r w:rsidRPr="005F5CCF">
        <w:rPr>
          <w:b/>
          <w:bCs/>
        </w:rPr>
        <w:lastRenderedPageBreak/>
        <w:t>REAFIRMANDO</w:t>
      </w:r>
      <w:r>
        <w:t xml:space="preserve"> que la gobernanza de la IA debe tener en cuenta las particularidades que caracterizan a la región -incluyendo sus contextos socioeconómicos y culturales-, con relación a las oportunidades, riesgos e impactos adversos actuales y potenciales derivados de las tecnologías de IA, en todas las etapas de su ciclo de vida, así como la necesidad de promover la inclusión digital y la equidad en el acceso a dichas tecnologías.</w:t>
      </w:r>
    </w:p>
    <w:p w14:paraId="44C8EE76" w14:textId="2DE9F489" w:rsidR="005F5CCF" w:rsidRDefault="005F5CCF" w:rsidP="005F5CCF">
      <w:pPr>
        <w:jc w:val="both"/>
      </w:pPr>
      <w:r w:rsidRPr="005F5CCF">
        <w:rPr>
          <w:b/>
          <w:bCs/>
        </w:rPr>
        <w:t xml:space="preserve">RECONOCIENDO </w:t>
      </w:r>
      <w:r>
        <w:t xml:space="preserve">que la construcción de este enfoque regional requiere contar con efectiva coordinación y la consolidación de ámbitos de discusión política y técnica que permitan arribar a consensos y </w:t>
      </w:r>
      <w:r w:rsidRPr="005F5CCF">
        <w:rPr>
          <w:b/>
          <w:bCs/>
        </w:rPr>
        <w:t>DESTACANDO</w:t>
      </w:r>
      <w:r>
        <w:t xml:space="preserve"> la importancia que ha tenido en este proceso el Grupo de Trabajo creado como resultado de la Cumbre Ministerial y de Altas Autoridades sobre la Ética de la Inteligencia Artificial en América Latina y el Caribe en Santiago de Chile</w:t>
      </w:r>
      <w:r w:rsidR="0025420C">
        <w:t>.</w:t>
      </w:r>
    </w:p>
    <w:p w14:paraId="6B70F8DC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contribución de la UNESCO y de CAF a este proceso regional en línea con la Recomendación sobre la ética de la IA de la UNESCO, el acompañamiento al Grupo de Trabajo, y el apoyo técnico a los países para el desarrollo e implementación de las políticas nacionales de IA.</w:t>
      </w:r>
    </w:p>
    <w:p w14:paraId="68080183" w14:textId="77777777" w:rsidR="005F5CCF" w:rsidRDefault="005F5CCF" w:rsidP="005F5CCF">
      <w:pPr>
        <w:jc w:val="both"/>
      </w:pPr>
      <w:r w:rsidRPr="005F5CCF">
        <w:rPr>
          <w:b/>
          <w:bCs/>
        </w:rPr>
        <w:t>DESTACANDO</w:t>
      </w:r>
      <w:r>
        <w:t xml:space="preserve"> la utilidad de la Metodología de Evaluación del Estado de Preparación de la UNESCO (RAM por sus siglas en inglés) para entender y diagnosticar la situación y grado de avance de los países de la región en la implementación de la Recomendación sobre la ética de la IA de la UNESCO y el interés de proceder en todos los países de América Latina y el Caribe para alcanzar un diagnóstico regional. </w:t>
      </w:r>
    </w:p>
    <w:p w14:paraId="162EE685" w14:textId="77777777" w:rsidR="005F5CCF" w:rsidRDefault="005F5CCF" w:rsidP="005F5CCF">
      <w:pPr>
        <w:jc w:val="both"/>
      </w:pPr>
      <w:r w:rsidRPr="005F5CCF">
        <w:rPr>
          <w:b/>
          <w:bCs/>
        </w:rPr>
        <w:t>RESALTANDO</w:t>
      </w:r>
      <w:r>
        <w:t xml:space="preserve"> la utilidad de la Guía Práctica “Diseño de políticas públicas de inteligencia artificial. Desarrollo de los habilitadores para su implementación en América Latina y el Caribe” de CAF, al brindar marcos metodológicos para el diseño participativo de políticas públicas de IA y para el fortalecimiento de los habilitadores para su implementación, con foco en nuestra región.</w:t>
      </w:r>
    </w:p>
    <w:p w14:paraId="204E2D52" w14:textId="77777777" w:rsidR="005F5CCF" w:rsidRDefault="005F5CCF" w:rsidP="005F5CCF">
      <w:pPr>
        <w:jc w:val="both"/>
      </w:pPr>
      <w:r w:rsidRPr="005F5CCF">
        <w:rPr>
          <w:b/>
          <w:bCs/>
        </w:rPr>
        <w:t>SUBRAYANDO</w:t>
      </w:r>
      <w:r>
        <w:t xml:space="preserve"> la importancia de disponer de una Hoja de Ruta común y accionable, construida por nuestros países que contemple objetivos y prioridades regionales, como instrumento para fortalecer la soberanía digital de nuestra región y su desarrollo.</w:t>
      </w:r>
    </w:p>
    <w:p w14:paraId="722D74AF" w14:textId="77777777" w:rsidR="005F5CCF" w:rsidRDefault="005F5CCF" w:rsidP="005F5CCF">
      <w:pPr>
        <w:jc w:val="both"/>
      </w:pPr>
      <w:r w:rsidRPr="005F5CCF">
        <w:rPr>
          <w:b/>
          <w:bCs/>
        </w:rPr>
        <w:t>ASUMIENDO EL COMPROMISO</w:t>
      </w:r>
      <w:r>
        <w:t xml:space="preserve"> de continuar trabajando en aras de abordar retos prioritarios contemplados en la Hoja de Ruta, los que se constituyen en lineamientos para el desarrollo e implementación efectiva de políticas públicas en torno a la IA en América Latina y el Caribe.</w:t>
      </w:r>
    </w:p>
    <w:p w14:paraId="3094A95D" w14:textId="77777777" w:rsidR="008F1946" w:rsidRDefault="008F1946" w:rsidP="005F5CCF">
      <w:pPr>
        <w:jc w:val="both"/>
        <w:rPr>
          <w:b/>
          <w:bCs/>
        </w:rPr>
      </w:pPr>
    </w:p>
    <w:p w14:paraId="6667ED82" w14:textId="77777777" w:rsidR="008F1946" w:rsidRDefault="008F1946" w:rsidP="005F5CCF">
      <w:pPr>
        <w:jc w:val="both"/>
        <w:rPr>
          <w:b/>
          <w:bCs/>
        </w:rPr>
      </w:pPr>
    </w:p>
    <w:p w14:paraId="54E24BDE" w14:textId="5232154C" w:rsidR="005F5CCF" w:rsidRDefault="005F5CCF" w:rsidP="005F5CCF">
      <w:pPr>
        <w:jc w:val="both"/>
      </w:pPr>
      <w:r w:rsidRPr="005F5CCF">
        <w:rPr>
          <w:b/>
          <w:bCs/>
        </w:rPr>
        <w:lastRenderedPageBreak/>
        <w:t>Por lo antedicho, RESUELVEN</w:t>
      </w:r>
      <w:r>
        <w:t>:</w:t>
      </w:r>
    </w:p>
    <w:p w14:paraId="08856BE1" w14:textId="0358E4A0" w:rsidR="005F5CCF" w:rsidRPr="008418A9" w:rsidRDefault="005F5CCF" w:rsidP="005F5CCF">
      <w:pPr>
        <w:jc w:val="both"/>
      </w:pPr>
      <w:r w:rsidRPr="005F5CCF">
        <w:rPr>
          <w:b/>
          <w:bCs/>
          <w:i/>
          <w:iCs/>
        </w:rPr>
        <w:t>Aprobar</w:t>
      </w:r>
      <w:r>
        <w:t xml:space="preserve"> la Hoja de Ruta acordada en la presente Cumbre, </w:t>
      </w:r>
      <w:r w:rsidRPr="008418A9">
        <w:t xml:space="preserve">sus áreas priorizadas y las iniciativas asociadas como instrumento para fortalecer los diálogos técnicos y políticos regionales vinculados a la gobernanza y desarrollo de capacidades para el aprovechamiento de la IA en América Latina y el Caribe, </w:t>
      </w:r>
      <w:r w:rsidR="00823498" w:rsidRPr="008418A9">
        <w:t>con el</w:t>
      </w:r>
      <w:r w:rsidRPr="008418A9">
        <w:t xml:space="preserve"> apoyo técnico y la contribución de la UNESCO y CAF en nuestra región</w:t>
      </w:r>
      <w:r w:rsidR="00823498" w:rsidRPr="008418A9">
        <w:t>, entre otras organizaciones.</w:t>
      </w:r>
    </w:p>
    <w:p w14:paraId="01883D41" w14:textId="6AAFD582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 xml:space="preserve">Incluir </w:t>
      </w:r>
      <w:r w:rsidRPr="008418A9">
        <w:t xml:space="preserve">en la Hoja de Ruta aprobada las siguientes áreas priorizadas: Gobernanza y Regulación; Talento y futuro del trabajo; Protección de grupos en situación de vulnerabilidad; Medio Ambiente, Sustentabilidad y Cambio Climático; e Infraestructura. Cada una de ellas posee productos asociados y actividades específicas que buscan implementar la </w:t>
      </w:r>
      <w:r w:rsidR="00823498" w:rsidRPr="008418A9">
        <w:t xml:space="preserve">IA de forma </w:t>
      </w:r>
      <w:r w:rsidRPr="008418A9">
        <w:t>ética.</w:t>
      </w:r>
    </w:p>
    <w:p w14:paraId="62A2A806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Consolidar</w:t>
      </w:r>
      <w:r w:rsidRPr="008418A9">
        <w:t xml:space="preserve"> la creación del Grupo de Trabajo sobre la Ética de la Inteligencia Artificial en América Latina y el Caribe como espacio de diálogo permanente y de reunión periódica, con enfoque regional, encomendándole la elaboración de los términos de referencia para su funcionamiento y la coordinación de las acciones necesarias para la implementación de la Hoja de Ruta aprobada, así como formular propuestas para posteriores revisiones.  </w:t>
      </w:r>
    </w:p>
    <w:p w14:paraId="1514DDFA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Establecer</w:t>
      </w:r>
      <w:r w:rsidRPr="008418A9">
        <w:t xml:space="preserve"> las Cumbres Ministeriales y de Altas Autoridades sobre la Ética de la Inteligencia Artificial en América Latina y el Caribe como ámbitos de reunión anuales para el análisis y el debate relativos al desarrollo de políticas regionales en materia de IA, y de seguimiento de la implementación de la Hoja de Ruta aprobada, y sus revisiones.</w:t>
      </w:r>
    </w:p>
    <w:p w14:paraId="5C947F0F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Reconocer</w:t>
      </w:r>
      <w:r w:rsidRPr="008418A9">
        <w:t xml:space="preserve"> la labor de los puntos focales nacionales para contribuir a la creación de la primera Hoja de Ruta y continuar con el compromiso de avanzar en el proceso regional y de implementación de las líneas de acción priorizadas, asegurando la coordinación y convergencia, cuando corresponda, con otras iniciativas regionales como la Agenda digital para América Latina y el Caribe (</w:t>
      </w:r>
      <w:proofErr w:type="spellStart"/>
      <w:r w:rsidRPr="008418A9">
        <w:t>eLAC</w:t>
      </w:r>
      <w:proofErr w:type="spellEnd"/>
      <w:r w:rsidRPr="008418A9">
        <w:t xml:space="preserve">) y la Red de gobierno electrónico de América Latina y el Caribe (Red </w:t>
      </w:r>
      <w:proofErr w:type="spellStart"/>
      <w:r w:rsidRPr="008418A9">
        <w:t>Gealc</w:t>
      </w:r>
      <w:proofErr w:type="spellEnd"/>
      <w:r w:rsidRPr="008418A9">
        <w:t xml:space="preserve">), contribuyendo así al fortalecimiento del diálogo regional en la materia.   </w:t>
      </w:r>
    </w:p>
    <w:p w14:paraId="76AB7816" w14:textId="77777777" w:rsidR="00823498" w:rsidRPr="008418A9" w:rsidRDefault="00823498" w:rsidP="00823498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el apoyo y colaboración de la UNESCO y CAF para la construcción y permanencia de este proceso regional, y su ofrecimiento de continuar apoyando la labor del Grupo de Trabajo, como secretaria técnica, en el marco de su compromiso de brindar asistencia técnica y financiera para la implementación de la Hoja de Ruta aprobada y de las acciones que se definan en posteriores revisiones.</w:t>
      </w:r>
    </w:p>
    <w:p w14:paraId="42652061" w14:textId="77777777" w:rsidR="005F5CCF" w:rsidRPr="008418A9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de Chile por el rol de liderazgo del Grupo de Trabajo establecido en Santiago de Chile hasta la fecha, y encomendar a la República Oriental del Uruguay la continuación de su labor y la determinación de </w:t>
      </w:r>
      <w:r w:rsidRPr="008418A9">
        <w:lastRenderedPageBreak/>
        <w:t xml:space="preserve">los aspectos procedimentales necesarios para asegurar un adecuado avance de las iniciativas previstas en la Hoja de Ruta. </w:t>
      </w:r>
    </w:p>
    <w:p w14:paraId="081E5E1D" w14:textId="3C980BEB" w:rsidR="005F5CCF" w:rsidRDefault="005F5CCF" w:rsidP="005F5CCF">
      <w:pPr>
        <w:jc w:val="both"/>
      </w:pPr>
      <w:r w:rsidRPr="008418A9">
        <w:rPr>
          <w:b/>
          <w:bCs/>
          <w:i/>
          <w:iCs/>
        </w:rPr>
        <w:t>Agradecer</w:t>
      </w:r>
      <w:r w:rsidRPr="008418A9">
        <w:t xml:space="preserve"> al Gobierno de la República Oriental del Uruguay y en especial a la Agencia para el Desarrollo del Gobierno de Gestión Electrónica y la Sociedad de la Información y del Conocimiento (AGESIC) de la Presidencia de la República, a la UNESCO y a CAF por la organización de la presente Cumbre.</w:t>
      </w:r>
    </w:p>
    <w:p w14:paraId="38B34031" w14:textId="77777777" w:rsidR="008F1946" w:rsidRDefault="008F1946" w:rsidP="008F1946">
      <w:pPr>
        <w:ind w:left="-5"/>
        <w:rPr>
          <w:i/>
          <w:sz w:val="20"/>
          <w:szCs w:val="20"/>
        </w:rPr>
      </w:pPr>
    </w:p>
    <w:p w14:paraId="2AD74366" w14:textId="3C0F7975" w:rsidR="008F1946" w:rsidRDefault="008F1946" w:rsidP="008F1946">
      <w:pPr>
        <w:ind w:left="-5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6472F4">
        <w:rPr>
          <w:i/>
          <w:sz w:val="20"/>
          <w:szCs w:val="20"/>
        </w:rPr>
        <w:t xml:space="preserve">La presente declaración y su correspondiente hoja de ruta fueron aprobadas en la sesión cerrada de la Segunda Cumbre Ministerial y de Altas Autoridades sobre la Ética de la Inteligencia Artificial en América Latina y el Caribe realizada el 4 de octubre de 2024, en Montevideo, Uruguay, con la presencia de representantes de los siguientes países: Brasil, Chile, Colombia, Cuba, </w:t>
      </w:r>
      <w:proofErr w:type="spellStart"/>
      <w:r w:rsidRPr="006472F4">
        <w:rPr>
          <w:i/>
          <w:sz w:val="20"/>
          <w:szCs w:val="20"/>
        </w:rPr>
        <w:t>Curacao</w:t>
      </w:r>
      <w:proofErr w:type="spellEnd"/>
      <w:r w:rsidRPr="006472F4">
        <w:rPr>
          <w:i/>
          <w:sz w:val="20"/>
          <w:szCs w:val="20"/>
        </w:rPr>
        <w:t>, Ecuador, El Salvador, Honduras, Jamaica, México, Panamá, Paraguay, Perú, República Dominicana y Uruguay.</w:t>
      </w:r>
    </w:p>
    <w:p w14:paraId="11D4DAF2" w14:textId="4BB821A9" w:rsidR="006D2FC3" w:rsidRDefault="006D2FC3" w:rsidP="008F1946">
      <w:pPr>
        <w:ind w:left="-5"/>
        <w:rPr>
          <w:i/>
          <w:sz w:val="20"/>
          <w:szCs w:val="20"/>
        </w:rPr>
      </w:pPr>
      <w:r w:rsidRPr="0050340C">
        <w:rPr>
          <w:i/>
          <w:sz w:val="20"/>
          <w:szCs w:val="20"/>
        </w:rPr>
        <w:t xml:space="preserve">** Luego de </w:t>
      </w:r>
      <w:r w:rsidR="000F26A9" w:rsidRPr="0050340C">
        <w:rPr>
          <w:i/>
          <w:sz w:val="20"/>
          <w:szCs w:val="20"/>
        </w:rPr>
        <w:t>la</w:t>
      </w:r>
      <w:r w:rsidRPr="0050340C">
        <w:rPr>
          <w:i/>
          <w:sz w:val="20"/>
          <w:szCs w:val="20"/>
        </w:rPr>
        <w:t xml:space="preserve"> aprobación</w:t>
      </w:r>
      <w:r w:rsidR="000F26A9" w:rsidRPr="0050340C">
        <w:rPr>
          <w:i/>
          <w:sz w:val="20"/>
          <w:szCs w:val="20"/>
        </w:rPr>
        <w:t xml:space="preserve"> de</w:t>
      </w:r>
      <w:r w:rsidRPr="0050340C">
        <w:rPr>
          <w:i/>
          <w:sz w:val="20"/>
          <w:szCs w:val="20"/>
        </w:rPr>
        <w:t xml:space="preserve"> los documentos mencionado</w:t>
      </w:r>
      <w:r w:rsidR="00804983">
        <w:rPr>
          <w:i/>
          <w:sz w:val="20"/>
          <w:szCs w:val="20"/>
        </w:rPr>
        <w:t>s</w:t>
      </w:r>
      <w:r w:rsidR="000F26A9" w:rsidRPr="0050340C">
        <w:rPr>
          <w:i/>
          <w:sz w:val="20"/>
          <w:szCs w:val="20"/>
        </w:rPr>
        <w:t>, se</w:t>
      </w:r>
      <w:r w:rsidRPr="0050340C">
        <w:rPr>
          <w:i/>
          <w:sz w:val="20"/>
          <w:szCs w:val="20"/>
        </w:rPr>
        <w:t xml:space="preserve"> </w:t>
      </w:r>
      <w:r w:rsidR="000F26A9" w:rsidRPr="0050340C">
        <w:rPr>
          <w:i/>
          <w:sz w:val="20"/>
          <w:szCs w:val="20"/>
        </w:rPr>
        <w:t>recibió</w:t>
      </w:r>
      <w:r w:rsidRPr="0050340C">
        <w:rPr>
          <w:i/>
          <w:sz w:val="20"/>
          <w:szCs w:val="20"/>
        </w:rPr>
        <w:t xml:space="preserve"> la adhesión formal de Bolivia</w:t>
      </w:r>
      <w:r w:rsidR="00804983">
        <w:rPr>
          <w:i/>
          <w:sz w:val="20"/>
          <w:szCs w:val="20"/>
        </w:rPr>
        <w:t xml:space="preserve"> y </w:t>
      </w:r>
      <w:r w:rsidRPr="0050340C">
        <w:rPr>
          <w:i/>
          <w:sz w:val="20"/>
          <w:szCs w:val="20"/>
        </w:rPr>
        <w:t>Dominica (Actualización al 1° de diciembre de 2024).</w:t>
      </w:r>
      <w:r>
        <w:rPr>
          <w:i/>
          <w:sz w:val="20"/>
          <w:szCs w:val="20"/>
        </w:rPr>
        <w:t xml:space="preserve"> </w:t>
      </w:r>
    </w:p>
    <w:p w14:paraId="0AA8915A" w14:textId="77777777" w:rsidR="008F1946" w:rsidRPr="00804983" w:rsidRDefault="008F1946" w:rsidP="005F5CCF">
      <w:pPr>
        <w:jc w:val="both"/>
      </w:pPr>
    </w:p>
    <w:sectPr w:rsidR="008F1946" w:rsidRPr="00804983" w:rsidSect="00823498">
      <w:pgSz w:w="11906" w:h="16838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CF"/>
    <w:rsid w:val="000B2389"/>
    <w:rsid w:val="000F26A9"/>
    <w:rsid w:val="001C2E70"/>
    <w:rsid w:val="001E4DC4"/>
    <w:rsid w:val="0025420C"/>
    <w:rsid w:val="0050340C"/>
    <w:rsid w:val="005F5CCF"/>
    <w:rsid w:val="006D2FC3"/>
    <w:rsid w:val="00804983"/>
    <w:rsid w:val="00823498"/>
    <w:rsid w:val="008418A9"/>
    <w:rsid w:val="008F1946"/>
    <w:rsid w:val="0092145F"/>
    <w:rsid w:val="009C13D1"/>
    <w:rsid w:val="00AA4405"/>
    <w:rsid w:val="00AD09B0"/>
    <w:rsid w:val="00AD5879"/>
    <w:rsid w:val="00D16DA7"/>
    <w:rsid w:val="00D64935"/>
    <w:rsid w:val="00DD04A7"/>
    <w:rsid w:val="00E37B68"/>
    <w:rsid w:val="00E74D8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A8BC5"/>
  <w15:chartTrackingRefBased/>
  <w15:docId w15:val="{1AA8DF5C-E257-4067-8875-791F89BC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U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F5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5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F5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F5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F5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F5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F5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F5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F5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F5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F5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F5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F5C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F5CC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F5C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F5CC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F5C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F5C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F5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F5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F5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F5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F5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F5CC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F5CC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F5CC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F5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F5CC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F5C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7430</Characters>
  <Application>Microsoft Office Word</Application>
  <DocSecurity>0</DocSecurity>
  <Lines>61</Lines>
  <Paragraphs>17</Paragraphs>
  <ScaleCrop>false</ScaleCrop>
  <Company/>
  <LinksUpToDate>false</LinksUpToDate>
  <CharactersWithSpaces>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 Pardo</dc:creator>
  <cp:keywords/>
  <dc:description/>
  <cp:lastModifiedBy>Leticia Hernandez</cp:lastModifiedBy>
  <cp:revision>2</cp:revision>
  <dcterms:created xsi:type="dcterms:W3CDTF">2025-02-03T14:03:00Z</dcterms:created>
  <dcterms:modified xsi:type="dcterms:W3CDTF">2025-02-03T14:03:00Z</dcterms:modified>
</cp:coreProperties>
</file>